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3"/>
        <w:gridCol w:w="13"/>
      </w:tblGrid>
      <w:tr w:rsidR="0049743D" w:rsidTr="0049743D"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49743D" w:rsidTr="0049743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49743D" w:rsidTr="0049743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Ukmergės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rajono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direktoriaus</w:t>
                  </w:r>
                  <w:proofErr w:type="spellEnd"/>
                </w:p>
                <w:p w:rsidR="0049743D" w:rsidRDefault="00282E79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2021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vasario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9</w:t>
                  </w:r>
                  <w:r w:rsidR="0049743D">
                    <w:rPr>
                      <w:color w:val="000000"/>
                      <w:sz w:val="24"/>
                    </w:rPr>
                    <w:t xml:space="preserve"> d.</w:t>
                  </w:r>
                </w:p>
                <w:p w:rsidR="0049743D" w:rsidRDefault="0049743D"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Nr. </w:t>
                  </w:r>
                  <w:r w:rsidR="00282E79">
                    <w:rPr>
                      <w:color w:val="000000"/>
                      <w:sz w:val="24"/>
                    </w:rPr>
                    <w:t>14 - 91</w:t>
                  </w:r>
                  <w:bookmarkStart w:id="0" w:name="_GoBack"/>
                  <w:bookmarkEnd w:id="0"/>
                </w:p>
              </w:tc>
            </w:tr>
            <w:tr w:rsidR="0049743D" w:rsidTr="0049743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</w:tr>
            <w:tr w:rsidR="0049743D" w:rsidTr="0049743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UKMERGĖS RAJONO SAVIVALDYBĖS ADMINISTRACIJOS</w:t>
                  </w:r>
                </w:p>
              </w:tc>
            </w:tr>
            <w:tr w:rsidR="0049743D" w:rsidTr="0049743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ŠVIETIMO, KULTŪROS IR SPORTO SKYRIAUS</w:t>
                  </w:r>
                </w:p>
              </w:tc>
            </w:tr>
            <w:tr w:rsidR="0049743D" w:rsidTr="0049743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3320F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49743D" w:rsidTr="0049743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:rsidR="00AA26D0" w:rsidRDefault="00AA26D0"/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AA26D0">
        <w:trPr>
          <w:trHeight w:val="349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A26D0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vyriausiasis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specialistas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).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AA26D0" w:rsidRDefault="00AA26D0"/>
        </w:tc>
      </w:tr>
      <w:tr w:rsidR="00AA26D0">
        <w:trPr>
          <w:trHeight w:val="120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A26D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AA26D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AA26D0" w:rsidRDefault="00AA26D0"/>
              </w:tc>
            </w:tr>
            <w:tr w:rsidR="00AA26D0" w:rsidRPr="003320F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Pr="0049743D" w:rsidRDefault="0049743D">
                  <w:pPr>
                    <w:rPr>
                      <w:lang w:val="pt-BR"/>
                    </w:rPr>
                  </w:pPr>
                  <w:r w:rsidRPr="0049743D">
                    <w:rPr>
                      <w:color w:val="000000"/>
                      <w:sz w:val="24"/>
                      <w:lang w:val="pt-BR"/>
                    </w:rPr>
                    <w:t>4. Papildoma (-os) veiklos sritis (-ys):</w:t>
                  </w:r>
                  <w:r w:rsidRPr="0049743D">
                    <w:rPr>
                      <w:color w:val="FFFFFF"/>
                      <w:sz w:val="24"/>
                      <w:lang w:val="pt-BR"/>
                    </w:rPr>
                    <w:t>0</w:t>
                  </w:r>
                </w:p>
              </w:tc>
            </w:tr>
            <w:tr w:rsidR="00AA26D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stebėsena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AA26D0" w:rsidRDefault="00AA26D0"/>
              </w:tc>
            </w:tr>
          </w:tbl>
          <w:p w:rsidR="00AA26D0" w:rsidRDefault="00AA26D0"/>
        </w:tc>
      </w:tr>
      <w:tr w:rsidR="00AA26D0">
        <w:trPr>
          <w:trHeight w:val="126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A26D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AA26D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Sporto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politikos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savivaldybėje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AA26D0" w:rsidRDefault="00AA26D0"/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AA26D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Sportas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sveika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gyvensena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AA26D0" w:rsidRDefault="00AA26D0"/>
              </w:tc>
            </w:tr>
          </w:tbl>
          <w:p w:rsidR="00AA26D0" w:rsidRDefault="00AA26D0"/>
        </w:tc>
      </w:tr>
      <w:tr w:rsidR="00AA26D0">
        <w:trPr>
          <w:trHeight w:val="100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A26D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:rsidR="00AA26D0" w:rsidRDefault="00AA26D0"/>
        </w:tc>
      </w:tr>
      <w:tr w:rsidR="00AA26D0">
        <w:trPr>
          <w:trHeight w:val="20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49743D" w:rsidTr="0049743D"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AA26D0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AA26D0" w:rsidRDefault="00AA26D0" w:rsidP="0049743D">
            <w:pPr>
              <w:jc w:val="both"/>
            </w:pPr>
          </w:p>
        </w:tc>
        <w:tc>
          <w:tcPr>
            <w:tcW w:w="13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</w:tr>
      <w:tr w:rsidR="00AA26D0">
        <w:trPr>
          <w:trHeight w:val="19"/>
        </w:trPr>
        <w:tc>
          <w:tcPr>
            <w:tcW w:w="13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  <w:tc>
          <w:tcPr>
            <w:tcW w:w="1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  <w:tc>
          <w:tcPr>
            <w:tcW w:w="1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  <w:tc>
          <w:tcPr>
            <w:tcW w:w="9053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  <w:tc>
          <w:tcPr>
            <w:tcW w:w="13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Priima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prognozavimą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prognozavimų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suformuotos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rodiklių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suformuotos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rodiklių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AA26D0" w:rsidRDefault="00AA26D0" w:rsidP="0049743D">
            <w:pPr>
              <w:jc w:val="both"/>
            </w:pPr>
          </w:p>
        </w:tc>
      </w:tr>
      <w:tr w:rsidR="00AA26D0">
        <w:trPr>
          <w:trHeight w:val="20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Kuruoja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Ukmergės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centro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mokomųjų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fizinio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ugdymo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choreografijos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bendradarbiauja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mokytojų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metodiniais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būreliais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vystymo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rajone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nevyriausybinių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Inicijuoja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rajono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sportinius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Ukmergės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rajono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kūno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plėtros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vystymą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rūpinasi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bazių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modernizavimu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efektyviu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panaudojimu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inicijuoja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žalingų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įpročių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prevenciją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gyvensenos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ugdymą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AA26D0" w:rsidRDefault="00AA26D0" w:rsidP="0049743D">
            <w:pPr>
              <w:jc w:val="both"/>
            </w:pPr>
          </w:p>
        </w:tc>
      </w:tr>
      <w:tr w:rsidR="00AA26D0">
        <w:trPr>
          <w:trHeight w:val="20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  <w:tc>
          <w:tcPr>
            <w:tcW w:w="1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  <w:tc>
          <w:tcPr>
            <w:tcW w:w="9053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  <w:tc>
          <w:tcPr>
            <w:tcW w:w="13" w:type="dxa"/>
          </w:tcPr>
          <w:p w:rsidR="00AA26D0" w:rsidRDefault="00AA26D0" w:rsidP="0049743D">
            <w:pPr>
              <w:pStyle w:val="EmptyLayoutCell"/>
              <w:jc w:val="both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AA26D0" w:rsidRDefault="00AA26D0" w:rsidP="0049743D">
            <w:pPr>
              <w:jc w:val="both"/>
            </w:pPr>
          </w:p>
        </w:tc>
      </w:tr>
      <w:tr w:rsidR="00AA26D0">
        <w:trPr>
          <w:trHeight w:val="139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6"/>
            </w:tblGrid>
            <w:tr w:rsidR="00AA26D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AA26D0" w:rsidRPr="003320F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Pr="0049743D" w:rsidRDefault="0049743D" w:rsidP="0049743D">
                  <w:pPr>
                    <w:jc w:val="both"/>
                    <w:rPr>
                      <w:lang w:val="pt-BR"/>
                    </w:rPr>
                  </w:pPr>
                  <w:r w:rsidRPr="0049743D">
                    <w:rPr>
                      <w:color w:val="000000"/>
                      <w:sz w:val="24"/>
                      <w:lang w:val="pt-BR"/>
                    </w:rPr>
                    <w:t>29. Išsilavinimo ir darbo patirties reikalavimai:</w:t>
                  </w:r>
                  <w:r w:rsidRPr="0049743D">
                    <w:rPr>
                      <w:color w:val="FFFFFF"/>
                      <w:sz w:val="24"/>
                      <w:lang w:val="pt-BR"/>
                    </w:rPr>
                    <w:t>0</w:t>
                  </w:r>
                </w:p>
              </w:tc>
            </w:tr>
            <w:tr w:rsidR="00AA26D0" w:rsidRPr="003320F4">
              <w:trPr>
                <w:trHeight w:val="20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AA26D0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6"/>
                        </w:tblGrid>
                        <w:tr w:rsidR="00AA26D0" w:rsidRPr="003320F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26D0" w:rsidRPr="0049743D" w:rsidRDefault="0049743D" w:rsidP="0049743D">
                              <w:pPr>
                                <w:jc w:val="both"/>
                                <w:rPr>
                                  <w:lang w:val="pt-BR"/>
                                </w:rPr>
                              </w:pPr>
                              <w:r w:rsidRPr="0049743D">
                                <w:rPr>
                                  <w:color w:val="000000"/>
                                  <w:sz w:val="24"/>
                                  <w:lang w:val="pt-BR"/>
                                </w:rPr>
                                <w:t xml:space="preserve">29.1.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AA26D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26D0" w:rsidRDefault="0049743D" w:rsidP="0049743D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29.2.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pedagogika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AA26D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26D0" w:rsidRDefault="0049743D" w:rsidP="0049743D">
                              <w:pPr>
                                <w:jc w:val="both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AA26D0" w:rsidRDefault="00AA26D0" w:rsidP="0049743D">
                        <w:pPr>
                          <w:jc w:val="both"/>
                        </w:pPr>
                      </w:p>
                    </w:tc>
                  </w:tr>
                  <w:tr w:rsidR="00AA26D0" w:rsidRPr="003320F4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6"/>
                        </w:tblGrid>
                        <w:tr w:rsidR="00AA26D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26D0" w:rsidRDefault="0049743D" w:rsidP="0049743D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29.3.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žemesnis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AA26D0" w:rsidRPr="003320F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26D0" w:rsidRPr="0049743D" w:rsidRDefault="0049743D" w:rsidP="0049743D">
                              <w:pPr>
                                <w:jc w:val="both"/>
                                <w:rPr>
                                  <w:lang w:val="pt-BR"/>
                                </w:rPr>
                              </w:pPr>
                              <w:r w:rsidRPr="0049743D">
                                <w:rPr>
                                  <w:color w:val="000000"/>
                                  <w:sz w:val="24"/>
                                  <w:lang w:val="pt-BR"/>
                                </w:rPr>
                                <w:t>29.4. darbo patirtis – pedagoginio darbo patirtis;</w:t>
                              </w:r>
                            </w:p>
                          </w:tc>
                        </w:tr>
                        <w:tr w:rsidR="00AA26D0" w:rsidRPr="003320F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26D0" w:rsidRPr="0049743D" w:rsidRDefault="0049743D" w:rsidP="0049743D">
                              <w:pPr>
                                <w:jc w:val="both"/>
                                <w:rPr>
                                  <w:lang w:val="pt-BR"/>
                                </w:rPr>
                              </w:pPr>
                              <w:r w:rsidRPr="0049743D">
                                <w:rPr>
                                  <w:color w:val="000000"/>
                                  <w:sz w:val="24"/>
                                  <w:lang w:val="pt-BR"/>
                                </w:rPr>
                                <w:t xml:space="preserve">29.5. darbo patirties trukmė – ne mažiau kaip 1 metai. </w:t>
                              </w:r>
                            </w:p>
                          </w:tc>
                        </w:tr>
                      </w:tbl>
                      <w:p w:rsidR="00AA26D0" w:rsidRPr="0049743D" w:rsidRDefault="00AA26D0" w:rsidP="0049743D">
                        <w:pPr>
                          <w:jc w:val="both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AA26D0" w:rsidRPr="0049743D" w:rsidRDefault="00AA26D0" w:rsidP="0049743D">
                  <w:pPr>
                    <w:rPr>
                      <w:lang w:val="pt-BR"/>
                    </w:rPr>
                  </w:pP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30.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AA26D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 w:rsidP="0049743D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30.1.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vokiečių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anglų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prancūzų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rusų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</w:tbl>
                <w:p w:rsidR="00AA26D0" w:rsidRDefault="00AA26D0" w:rsidP="0049743D">
                  <w:pPr>
                    <w:jc w:val="both"/>
                  </w:pPr>
                </w:p>
              </w:tc>
            </w:tr>
            <w:tr w:rsidR="00AA26D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 w:rsidP="0049743D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 xml:space="preserve">30.2.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kalbos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mokėjimo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B1.</w:t>
                        </w:r>
                      </w:p>
                    </w:tc>
                  </w:tr>
                </w:tbl>
                <w:p w:rsidR="00AA26D0" w:rsidRDefault="00AA26D0" w:rsidP="0049743D">
                  <w:pPr>
                    <w:jc w:val="both"/>
                  </w:pP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 w:rsidP="0049743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31.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Atitikimas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reikalavimams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AA26D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 w:rsidP="0049743D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turėti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ne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mažesnę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kaip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3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metų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švietimo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patirtį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įgytą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institucijoje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3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metų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vadovaujamo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darbo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patirtį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pareigybėje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kurią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einant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atliekamas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darbas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yra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laikomas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pedagoginiu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AA26D0" w:rsidRDefault="00AA26D0" w:rsidP="0049743D">
                  <w:pPr>
                    <w:jc w:val="both"/>
                  </w:pPr>
                </w:p>
              </w:tc>
            </w:tr>
          </w:tbl>
          <w:p w:rsidR="00AA26D0" w:rsidRDefault="00AA26D0"/>
        </w:tc>
      </w:tr>
      <w:tr w:rsidR="00AA26D0">
        <w:trPr>
          <w:trHeight w:val="62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6"/>
            </w:tblGrid>
            <w:tr w:rsidR="00AA26D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:rsidR="00AA26D0" w:rsidRDefault="0049743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  <w:sz w:val="24"/>
                    </w:rPr>
                    <w:t xml:space="preserve">32.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AA26D0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32.1.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32.2.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32.3.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32.4.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32.5.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:rsidR="00AA26D0" w:rsidRDefault="00AA26D0"/>
              </w:tc>
            </w:tr>
            <w:tr w:rsidR="00AA26D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  <w:sz w:val="24"/>
                    </w:rPr>
                    <w:t xml:space="preserve">33.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AA26D0" w:rsidRPr="003320F4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33.1.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AA26D0" w:rsidRPr="003320F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Pr="0049743D" w:rsidRDefault="0049743D">
                        <w:pPr>
                          <w:rPr>
                            <w:lang w:val="pt-BR"/>
                          </w:rPr>
                        </w:pPr>
                        <w:r w:rsidRPr="0049743D">
                          <w:rPr>
                            <w:color w:val="000000"/>
                            <w:sz w:val="24"/>
                            <w:lang w:val="pt-BR"/>
                          </w:rPr>
                          <w:t>33.2. kontrolės ir priežiūros proceso valdymas – 3.</w:t>
                        </w:r>
                      </w:p>
                    </w:tc>
                  </w:tr>
                </w:tbl>
                <w:p w:rsidR="00AA26D0" w:rsidRPr="0049743D" w:rsidRDefault="00AA26D0">
                  <w:pPr>
                    <w:rPr>
                      <w:lang w:val="pt-BR"/>
                    </w:rPr>
                  </w:pPr>
                </w:p>
              </w:tc>
            </w:tr>
            <w:tr w:rsidR="00AA26D0" w:rsidRPr="003320F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Pr="0049743D" w:rsidRDefault="0049743D">
                  <w:pPr>
                    <w:rPr>
                      <w:lang w:val="pt-BR"/>
                    </w:rPr>
                  </w:pPr>
                  <w:r w:rsidRPr="0049743D">
                    <w:rPr>
                      <w:color w:val="000000"/>
                      <w:sz w:val="24"/>
                      <w:lang w:val="pt-BR"/>
                    </w:rPr>
                    <w:t>34. Profesinės kompetencijos ir jų pakankami lygiai:</w:t>
                  </w:r>
                  <w:r w:rsidRPr="0049743D">
                    <w:rPr>
                      <w:color w:val="FFFFFF"/>
                      <w:sz w:val="24"/>
                      <w:lang w:val="pt-BR"/>
                    </w:rPr>
                    <w:t>0</w:t>
                  </w:r>
                </w:p>
              </w:tc>
            </w:tr>
            <w:tr w:rsidR="00AA26D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AA26D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A26D0" w:rsidRDefault="0049743D">
                        <w:r>
                          <w:rPr>
                            <w:color w:val="000000"/>
                            <w:sz w:val="24"/>
                          </w:rPr>
                          <w:t xml:space="preserve">34.1.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:rsidR="00AA26D0" w:rsidRDefault="00AA26D0"/>
              </w:tc>
            </w:tr>
          </w:tbl>
          <w:p w:rsidR="00AA26D0" w:rsidRDefault="00AA26D0"/>
        </w:tc>
      </w:tr>
      <w:tr w:rsidR="00AA26D0">
        <w:trPr>
          <w:trHeight w:val="517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  <w:tr w:rsidR="0049743D" w:rsidTr="0049743D"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6"/>
            </w:tblGrid>
            <w:tr w:rsidR="00AA26D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</w:tr>
            <w:tr w:rsidR="00AA26D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</w:tr>
            <w:tr w:rsidR="00AA26D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</w:tr>
            <w:tr w:rsidR="00AA26D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</w:tr>
            <w:tr w:rsidR="00AA26D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</w:tr>
            <w:tr w:rsidR="00AA26D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</w:tr>
            <w:tr w:rsidR="00AA26D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49743D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</w:tr>
            <w:tr w:rsidR="00AA26D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6D0" w:rsidRDefault="00AA26D0"/>
              </w:tc>
            </w:tr>
          </w:tbl>
          <w:p w:rsidR="00AA26D0" w:rsidRDefault="00AA26D0"/>
        </w:tc>
      </w:tr>
      <w:tr w:rsidR="00AA26D0">
        <w:trPr>
          <w:trHeight w:val="41"/>
        </w:trPr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9053" w:type="dxa"/>
          </w:tcPr>
          <w:p w:rsidR="00AA26D0" w:rsidRDefault="00AA26D0">
            <w:pPr>
              <w:pStyle w:val="EmptyLayoutCell"/>
            </w:pPr>
          </w:p>
        </w:tc>
        <w:tc>
          <w:tcPr>
            <w:tcW w:w="13" w:type="dxa"/>
          </w:tcPr>
          <w:p w:rsidR="00AA26D0" w:rsidRDefault="00AA26D0">
            <w:pPr>
              <w:pStyle w:val="EmptyLayoutCell"/>
            </w:pPr>
          </w:p>
        </w:tc>
      </w:tr>
    </w:tbl>
    <w:p w:rsidR="00AA26D0" w:rsidRDefault="00AA26D0"/>
    <w:sectPr w:rsidR="00AA26D0" w:rsidSect="003320F4">
      <w:pgSz w:w="11905" w:h="16837"/>
      <w:pgMar w:top="567" w:right="567" w:bottom="1134" w:left="1701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3D"/>
    <w:rsid w:val="00282E79"/>
    <w:rsid w:val="003320F4"/>
    <w:rsid w:val="0049743D"/>
    <w:rsid w:val="00A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Sandra Guogienė</dc:creator>
  <cp:lastModifiedBy>Eglė Sedleckienė</cp:lastModifiedBy>
  <cp:revision>2</cp:revision>
  <dcterms:created xsi:type="dcterms:W3CDTF">2021-03-01T12:50:00Z</dcterms:created>
  <dcterms:modified xsi:type="dcterms:W3CDTF">2021-03-01T12:50:00Z</dcterms:modified>
</cp:coreProperties>
</file>