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E18" w14:textId="6DC6C1D2" w:rsidR="0085566E" w:rsidRPr="000B320A" w:rsidRDefault="00596F29" w:rsidP="00653E4E">
      <w:pPr>
        <w:keepNext/>
        <w:tabs>
          <w:tab w:val="left" w:pos="1170"/>
        </w:tabs>
        <w:spacing w:line="276" w:lineRule="auto"/>
        <w:jc w:val="both"/>
        <w:outlineLvl w:val="0"/>
        <w:rPr>
          <w:rFonts w:asciiTheme="majorBidi" w:hAnsiTheme="majorBidi" w:cstheme="majorBidi"/>
          <w:b/>
          <w:bCs/>
          <w:noProof/>
          <w:szCs w:val="24"/>
        </w:rPr>
      </w:pPr>
      <w:r>
        <w:rPr>
          <w:rFonts w:asciiTheme="majorBidi" w:hAnsiTheme="majorBidi" w:cstheme="majorBidi"/>
          <w:b/>
          <w:bCs/>
          <w:noProof/>
          <w:szCs w:val="24"/>
        </w:rPr>
        <w:drawing>
          <wp:anchor distT="0" distB="0" distL="114300" distR="114300" simplePos="0" relativeHeight="251657728" behindDoc="0" locked="0" layoutInCell="1" allowOverlap="1" wp14:anchorId="27C71225" wp14:editId="54341998">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0B320A">
        <w:rPr>
          <w:rFonts w:asciiTheme="majorBidi" w:hAnsiTheme="majorBidi" w:cstheme="majorBidi"/>
          <w:b/>
          <w:bCs/>
          <w:noProof/>
          <w:szCs w:val="24"/>
        </w:rPr>
        <w:t xml:space="preserve">                                                                                                                                                                                                                                                                                                                                                                                                                                                                                                                                                                                                                                                                                                                                                                                                                                                                                                                                                                                                                                                                                                                                                                                                                                                                                                                                                                                                                                                                                                                                                                                                                                                                                                                                                                                                                                                                                                                                                                                                                                                                                                                                                                                                                                                                                                                                                                                                                                                                                                                                                                                                                                                                                                                                                                                                                                                                                                                                                                                                                                                                                                                                                                                                                                                                                                                                                                                                                                                                                                                                                                                                                                                                                                                                                                                                                                                                                                                                                                                                                                                                                                                                                                                                                                                                                                                                                                                                                                                                                                                                                                                                                                                                                                                                                                                                                                                                                                                                                                                                                                                                                                                                                                                                                                                                                                                                       </w:t>
      </w:r>
      <w:r w:rsidR="0085566E" w:rsidRPr="000B320A">
        <w:rPr>
          <w:rFonts w:asciiTheme="majorBidi" w:hAnsiTheme="majorBidi" w:cstheme="majorBidi"/>
          <w:b/>
          <w:bCs/>
          <w:noProof/>
          <w:szCs w:val="24"/>
        </w:rPr>
        <w:br/>
      </w:r>
    </w:p>
    <w:p w14:paraId="6B4CEC9A" w14:textId="77777777" w:rsidR="0085566E" w:rsidRPr="000B320A" w:rsidRDefault="0085566E" w:rsidP="00653E4E">
      <w:pPr>
        <w:tabs>
          <w:tab w:val="center" w:pos="4153"/>
          <w:tab w:val="right" w:pos="8306"/>
        </w:tabs>
        <w:spacing w:line="276" w:lineRule="auto"/>
        <w:jc w:val="both"/>
        <w:rPr>
          <w:rFonts w:asciiTheme="majorBidi" w:hAnsiTheme="majorBidi" w:cstheme="majorBidi"/>
          <w:noProof/>
          <w:szCs w:val="24"/>
        </w:rPr>
      </w:pPr>
    </w:p>
    <w:p w14:paraId="011DC0A4" w14:textId="77777777" w:rsidR="0085566E" w:rsidRPr="000B320A" w:rsidRDefault="0085566E" w:rsidP="00653E4E">
      <w:pPr>
        <w:tabs>
          <w:tab w:val="center" w:pos="4153"/>
          <w:tab w:val="right" w:pos="8306"/>
        </w:tabs>
        <w:spacing w:line="276" w:lineRule="auto"/>
        <w:jc w:val="center"/>
        <w:rPr>
          <w:rFonts w:asciiTheme="majorBidi" w:hAnsiTheme="majorBidi" w:cstheme="majorBidi"/>
          <w:noProof/>
          <w:szCs w:val="24"/>
        </w:rPr>
      </w:pPr>
    </w:p>
    <w:p w14:paraId="6D740E3F" w14:textId="77777777" w:rsidR="00113071"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UKMERGĖS RAJONO SAVIVALDYBĖS</w:t>
      </w:r>
    </w:p>
    <w:p w14:paraId="18536959" w14:textId="77777777" w:rsidR="0085566E"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KONTROLĖS IR AUDITO TARNYBA</w:t>
      </w:r>
    </w:p>
    <w:p w14:paraId="52FD2DE8" w14:textId="4F9F5767" w:rsidR="00EB3510" w:rsidRPr="00C32F74" w:rsidRDefault="00EB3510" w:rsidP="00653E4E">
      <w:pPr>
        <w:spacing w:line="276" w:lineRule="auto"/>
        <w:jc w:val="both"/>
        <w:rPr>
          <w:rFonts w:asciiTheme="majorBidi" w:hAnsiTheme="majorBidi" w:cstheme="majorBidi"/>
          <w:noProof/>
          <w:sz w:val="16"/>
          <w:szCs w:val="16"/>
        </w:rPr>
      </w:pPr>
    </w:p>
    <w:p w14:paraId="2EE8E861" w14:textId="77777777" w:rsidR="00C32F74" w:rsidRPr="000B320A" w:rsidRDefault="00C32F74" w:rsidP="00653E4E">
      <w:pPr>
        <w:spacing w:line="276" w:lineRule="auto"/>
        <w:jc w:val="both"/>
        <w:rPr>
          <w:rFonts w:asciiTheme="majorBidi" w:hAnsiTheme="majorBidi" w:cstheme="majorBidi"/>
          <w:noProof/>
          <w:szCs w:val="24"/>
        </w:rPr>
      </w:pPr>
    </w:p>
    <w:p w14:paraId="365129B7" w14:textId="77777777" w:rsidR="000D36BA" w:rsidRPr="000B320A" w:rsidRDefault="000D36BA" w:rsidP="00653E4E">
      <w:pPr>
        <w:autoSpaceDE w:val="0"/>
        <w:autoSpaceDN w:val="0"/>
        <w:adjustRightInd w:val="0"/>
        <w:spacing w:line="276" w:lineRule="auto"/>
        <w:jc w:val="both"/>
        <w:rPr>
          <w:rFonts w:asciiTheme="majorBidi" w:hAnsiTheme="majorBidi" w:cstheme="majorBidi"/>
          <w:szCs w:val="24"/>
          <w:lang w:eastAsia="lt-LT"/>
        </w:rPr>
      </w:pPr>
    </w:p>
    <w:p w14:paraId="62BA1B35" w14:textId="59C8D240" w:rsidR="00976AB0" w:rsidRPr="000B320A" w:rsidRDefault="00293725" w:rsidP="00976AB0">
      <w:pPr>
        <w:autoSpaceDE w:val="0"/>
        <w:autoSpaceDN w:val="0"/>
        <w:adjustRightInd w:val="0"/>
        <w:spacing w:line="276" w:lineRule="auto"/>
        <w:jc w:val="center"/>
        <w:rPr>
          <w:rFonts w:asciiTheme="majorBidi" w:hAnsiTheme="majorBidi" w:cstheme="majorBidi"/>
          <w:b/>
          <w:szCs w:val="24"/>
          <w:lang w:eastAsia="lt-LT"/>
        </w:rPr>
      </w:pPr>
      <w:r>
        <w:rPr>
          <w:rFonts w:asciiTheme="majorBidi" w:hAnsiTheme="majorBidi" w:cstheme="majorBidi"/>
          <w:b/>
          <w:szCs w:val="24"/>
          <w:lang w:eastAsia="lt-LT"/>
        </w:rPr>
        <w:t xml:space="preserve">AUDITO IŠVADA </w:t>
      </w:r>
    </w:p>
    <w:p w14:paraId="7D26C89A" w14:textId="5590905E" w:rsidR="00BC2D24" w:rsidRPr="000B320A" w:rsidRDefault="00BC2D24" w:rsidP="00653E4E">
      <w:pPr>
        <w:autoSpaceDE w:val="0"/>
        <w:autoSpaceDN w:val="0"/>
        <w:adjustRightInd w:val="0"/>
        <w:spacing w:line="276" w:lineRule="auto"/>
        <w:jc w:val="center"/>
        <w:rPr>
          <w:rFonts w:asciiTheme="majorBidi" w:hAnsiTheme="majorBidi" w:cstheme="majorBidi"/>
          <w:b/>
          <w:bCs/>
          <w:sz w:val="16"/>
          <w:szCs w:val="16"/>
          <w:lang w:eastAsia="lt-LT"/>
        </w:rPr>
      </w:pPr>
    </w:p>
    <w:p w14:paraId="53EACA4F" w14:textId="26E024AF" w:rsidR="0085566E" w:rsidRPr="000B320A" w:rsidRDefault="00BC2D24" w:rsidP="00F32CF5">
      <w:pPr>
        <w:autoSpaceDE w:val="0"/>
        <w:autoSpaceDN w:val="0"/>
        <w:adjustRightInd w:val="0"/>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20</w:t>
      </w:r>
      <w:r w:rsidR="00D717A7" w:rsidRPr="000B320A">
        <w:rPr>
          <w:rFonts w:asciiTheme="majorBidi" w:hAnsiTheme="majorBidi" w:cstheme="majorBidi"/>
          <w:color w:val="000000"/>
          <w:szCs w:val="24"/>
          <w:lang w:eastAsia="lt-LT"/>
        </w:rPr>
        <w:t>2</w:t>
      </w:r>
      <w:r w:rsidR="005203F4" w:rsidRPr="000B320A">
        <w:rPr>
          <w:rFonts w:asciiTheme="majorBidi" w:hAnsiTheme="majorBidi" w:cstheme="majorBidi"/>
          <w:color w:val="000000"/>
          <w:szCs w:val="24"/>
          <w:lang w:eastAsia="lt-LT"/>
        </w:rPr>
        <w:t>1</w:t>
      </w:r>
      <w:r w:rsidR="0085566E" w:rsidRPr="000B320A">
        <w:rPr>
          <w:rFonts w:asciiTheme="majorBidi" w:hAnsiTheme="majorBidi" w:cstheme="majorBidi"/>
          <w:color w:val="000000"/>
          <w:szCs w:val="24"/>
          <w:lang w:eastAsia="lt-LT"/>
        </w:rPr>
        <w:t xml:space="preserve"> m. </w:t>
      </w:r>
      <w:r w:rsidR="005203F4" w:rsidRPr="000B320A">
        <w:rPr>
          <w:rFonts w:asciiTheme="majorBidi" w:hAnsiTheme="majorBidi" w:cstheme="majorBidi"/>
          <w:color w:val="000000"/>
          <w:szCs w:val="24"/>
          <w:lang w:eastAsia="lt-LT"/>
        </w:rPr>
        <w:t xml:space="preserve">gegužės </w:t>
      </w:r>
      <w:r w:rsidR="00D717A7" w:rsidRPr="000B320A">
        <w:rPr>
          <w:rFonts w:asciiTheme="majorBidi" w:hAnsiTheme="majorBidi" w:cstheme="majorBidi"/>
          <w:color w:val="000000"/>
          <w:szCs w:val="24"/>
          <w:lang w:eastAsia="lt-LT"/>
        </w:rPr>
        <w:t>2</w:t>
      </w:r>
      <w:r w:rsidR="005203F4" w:rsidRPr="000B320A">
        <w:rPr>
          <w:rFonts w:asciiTheme="majorBidi" w:hAnsiTheme="majorBidi" w:cstheme="majorBidi"/>
          <w:color w:val="000000"/>
          <w:szCs w:val="24"/>
          <w:lang w:eastAsia="lt-LT"/>
        </w:rPr>
        <w:t>8</w:t>
      </w:r>
      <w:r w:rsidR="0085566E" w:rsidRPr="000B320A">
        <w:rPr>
          <w:rFonts w:asciiTheme="majorBidi" w:hAnsiTheme="majorBidi" w:cstheme="majorBidi"/>
          <w:color w:val="000000"/>
          <w:szCs w:val="24"/>
          <w:lang w:eastAsia="lt-LT"/>
        </w:rPr>
        <w:t xml:space="preserve"> d. Nr. </w:t>
      </w:r>
      <w:r w:rsidR="0092202A">
        <w:rPr>
          <w:rFonts w:asciiTheme="majorBidi" w:hAnsiTheme="majorBidi" w:cstheme="majorBidi"/>
          <w:color w:val="000000"/>
          <w:szCs w:val="24"/>
          <w:lang w:eastAsia="lt-LT"/>
        </w:rPr>
        <w:t>S</w:t>
      </w:r>
      <w:r w:rsidR="003616E5" w:rsidRPr="000B320A">
        <w:rPr>
          <w:rFonts w:asciiTheme="majorBidi" w:hAnsiTheme="majorBidi" w:cstheme="majorBidi"/>
          <w:color w:val="000000"/>
          <w:szCs w:val="24"/>
          <w:lang w:eastAsia="lt-LT"/>
        </w:rPr>
        <w:t>R-</w:t>
      </w:r>
      <w:r w:rsidR="005203F4" w:rsidRPr="000B320A">
        <w:rPr>
          <w:rFonts w:asciiTheme="majorBidi" w:hAnsiTheme="majorBidi" w:cstheme="majorBidi"/>
          <w:color w:val="000000"/>
          <w:szCs w:val="24"/>
          <w:lang w:eastAsia="lt-LT"/>
        </w:rPr>
        <w:t>13</w:t>
      </w:r>
      <w:r w:rsidR="005F5DB3" w:rsidRPr="000B320A">
        <w:rPr>
          <w:rFonts w:asciiTheme="majorBidi" w:hAnsiTheme="majorBidi" w:cstheme="majorBidi"/>
          <w:color w:val="000000"/>
          <w:szCs w:val="24"/>
          <w:lang w:eastAsia="lt-LT"/>
        </w:rPr>
        <w:t>/1</w:t>
      </w:r>
    </w:p>
    <w:p w14:paraId="71601708" w14:textId="77777777" w:rsidR="0085566E" w:rsidRPr="000B320A" w:rsidRDefault="0085566E" w:rsidP="00F32CF5">
      <w:pPr>
        <w:autoSpaceDE w:val="0"/>
        <w:autoSpaceDN w:val="0"/>
        <w:adjustRightInd w:val="0"/>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Ukmergė</w:t>
      </w:r>
    </w:p>
    <w:p w14:paraId="0E60820C" w14:textId="3827A289" w:rsidR="005D7131" w:rsidRDefault="005D7131" w:rsidP="003E629F">
      <w:pPr>
        <w:shd w:val="clear" w:color="auto" w:fill="FFFFFF"/>
        <w:spacing w:line="276" w:lineRule="auto"/>
        <w:ind w:firstLine="851"/>
        <w:jc w:val="both"/>
        <w:rPr>
          <w:rFonts w:asciiTheme="majorBidi" w:hAnsiTheme="majorBidi" w:cstheme="majorBidi"/>
          <w:b/>
          <w:szCs w:val="24"/>
        </w:rPr>
      </w:pPr>
    </w:p>
    <w:p w14:paraId="63933EAE" w14:textId="77777777" w:rsidR="00C32F74" w:rsidRPr="000B320A" w:rsidRDefault="00C32F74" w:rsidP="003E629F">
      <w:pPr>
        <w:shd w:val="clear" w:color="auto" w:fill="FFFFFF"/>
        <w:spacing w:line="276" w:lineRule="auto"/>
        <w:ind w:firstLine="851"/>
        <w:jc w:val="both"/>
        <w:rPr>
          <w:rFonts w:asciiTheme="majorBidi" w:hAnsiTheme="majorBidi" w:cstheme="majorBidi"/>
          <w:b/>
          <w:szCs w:val="24"/>
        </w:rPr>
      </w:pPr>
    </w:p>
    <w:p w14:paraId="212FF434" w14:textId="77777777" w:rsidR="00D717A7" w:rsidRPr="000B320A" w:rsidRDefault="00D717A7" w:rsidP="005203F4">
      <w:pPr>
        <w:shd w:val="clear" w:color="auto" w:fill="FFFFFF"/>
        <w:spacing w:line="276" w:lineRule="auto"/>
        <w:ind w:firstLine="851"/>
        <w:jc w:val="both"/>
        <w:rPr>
          <w:b/>
          <w:color w:val="1F3864" w:themeColor="accent1" w:themeShade="80"/>
        </w:rPr>
      </w:pPr>
      <w:r w:rsidRPr="000B320A">
        <w:rPr>
          <w:b/>
          <w:color w:val="1F3864" w:themeColor="accent1" w:themeShade="80"/>
        </w:rPr>
        <w:t>Besąlyginė nuomonė dėl biudžeto vykdymo ataskaitų rinkinio</w:t>
      </w:r>
    </w:p>
    <w:p w14:paraId="47B84548" w14:textId="2CF12066" w:rsidR="009E46AA" w:rsidRPr="000B320A" w:rsidRDefault="00D27701" w:rsidP="005203F4">
      <w:pPr>
        <w:autoSpaceDE w:val="0"/>
        <w:autoSpaceDN w:val="0"/>
        <w:adjustRightInd w:val="0"/>
        <w:spacing w:line="276" w:lineRule="auto"/>
        <w:ind w:firstLine="851"/>
        <w:jc w:val="both"/>
        <w:rPr>
          <w:color w:val="000000"/>
          <w:szCs w:val="24"/>
        </w:rPr>
      </w:pPr>
      <w:r w:rsidRPr="000B320A">
        <w:rPr>
          <w:szCs w:val="24"/>
          <w:lang w:eastAsia="lt-LT"/>
        </w:rPr>
        <w:t xml:space="preserve">Mes atlikome </w:t>
      </w:r>
      <w:bookmarkStart w:id="0" w:name="_Hlk74123778"/>
      <w:r w:rsidR="00D717A7" w:rsidRPr="000B320A">
        <w:rPr>
          <w:rFonts w:eastAsia="Calibri"/>
          <w:szCs w:val="24"/>
        </w:rPr>
        <w:t xml:space="preserve">Ukmergės rajono </w:t>
      </w:r>
      <w:r w:rsidR="005203F4" w:rsidRPr="000B320A">
        <w:rPr>
          <w:rFonts w:eastAsia="Calibri"/>
          <w:szCs w:val="24"/>
        </w:rPr>
        <w:t>Vidiškių pagrindinės mokyklos</w:t>
      </w:r>
      <w:r w:rsidR="00D717A7" w:rsidRPr="000B320A">
        <w:rPr>
          <w:rFonts w:eastAsia="Calibri"/>
          <w:b/>
          <w:bCs/>
          <w:szCs w:val="24"/>
        </w:rPr>
        <w:t xml:space="preserve"> </w:t>
      </w:r>
      <w:bookmarkEnd w:id="0"/>
      <w:r w:rsidR="009E46AA" w:rsidRPr="000B320A">
        <w:rPr>
          <w:color w:val="000000"/>
          <w:lang w:eastAsia="lt-LT"/>
        </w:rPr>
        <w:t>finansinį (teisėtumo) auditą.</w:t>
      </w:r>
      <w:r w:rsidR="009E46AA" w:rsidRPr="000B320A">
        <w:rPr>
          <w:color w:val="000000"/>
          <w:szCs w:val="24"/>
        </w:rPr>
        <w:t xml:space="preserve"> </w:t>
      </w:r>
      <w:r w:rsidR="00D75E70" w:rsidRPr="000B320A">
        <w:rPr>
          <w:color w:val="000000"/>
          <w:szCs w:val="24"/>
        </w:rPr>
        <w:t xml:space="preserve">Mūsų nuomone, </w:t>
      </w:r>
      <w:r w:rsidR="005203F4" w:rsidRPr="000B320A">
        <w:rPr>
          <w:rFonts w:eastAsia="Calibri"/>
          <w:szCs w:val="24"/>
        </w:rPr>
        <w:t>Ukmergės rajono Vidiškių pagrindinės mokyklos</w:t>
      </w:r>
      <w:r w:rsidR="005203F4" w:rsidRPr="000B320A">
        <w:rPr>
          <w:rFonts w:eastAsia="Calibri"/>
          <w:b/>
          <w:bCs/>
          <w:szCs w:val="24"/>
        </w:rPr>
        <w:t xml:space="preserve"> </w:t>
      </w:r>
      <w:r w:rsidR="00D75E70" w:rsidRPr="000B320A">
        <w:rPr>
          <w:color w:val="000000"/>
          <w:szCs w:val="24"/>
        </w:rPr>
        <w:t>20</w:t>
      </w:r>
      <w:r w:rsidR="005203F4" w:rsidRPr="000B320A">
        <w:rPr>
          <w:color w:val="000000"/>
          <w:szCs w:val="24"/>
        </w:rPr>
        <w:t>20</w:t>
      </w:r>
      <w:r w:rsidR="00D75E70" w:rsidRPr="000B320A">
        <w:rPr>
          <w:szCs w:val="24"/>
          <w:lang w:eastAsia="lt-LT"/>
        </w:rPr>
        <w:t xml:space="preserve"> metų </w:t>
      </w:r>
      <w:r w:rsidR="009E46AA" w:rsidRPr="000B320A">
        <w:rPr>
          <w:szCs w:val="24"/>
          <w:lang w:eastAsia="lt-LT"/>
        </w:rPr>
        <w:t xml:space="preserve">biudžeto vykdymo </w:t>
      </w:r>
      <w:r w:rsidR="00D75E70" w:rsidRPr="000B320A">
        <w:rPr>
          <w:szCs w:val="24"/>
          <w:lang w:eastAsia="lt-LT"/>
        </w:rPr>
        <w:t>ataskaitų rinkin</w:t>
      </w:r>
      <w:r w:rsidR="001524B2" w:rsidRPr="000B320A">
        <w:rPr>
          <w:szCs w:val="24"/>
          <w:lang w:eastAsia="lt-LT"/>
        </w:rPr>
        <w:t>ys</w:t>
      </w:r>
      <w:r w:rsidR="009E46AA" w:rsidRPr="000B320A">
        <w:rPr>
          <w:szCs w:val="24"/>
          <w:lang w:eastAsia="lt-LT"/>
        </w:rPr>
        <w:t xml:space="preserve"> visais reikšmingais atžvilgiais parengt</w:t>
      </w:r>
      <w:r w:rsidR="003A4F92" w:rsidRPr="000B320A">
        <w:rPr>
          <w:szCs w:val="24"/>
          <w:lang w:eastAsia="lt-LT"/>
        </w:rPr>
        <w:t>as</w:t>
      </w:r>
      <w:r w:rsidR="009E46AA" w:rsidRPr="000B320A">
        <w:rPr>
          <w:szCs w:val="24"/>
          <w:lang w:eastAsia="lt-LT"/>
        </w:rPr>
        <w:t xml:space="preserve"> ir pateikt</w:t>
      </w:r>
      <w:r w:rsidR="003A4F92" w:rsidRPr="000B320A">
        <w:rPr>
          <w:szCs w:val="24"/>
          <w:lang w:eastAsia="lt-LT"/>
        </w:rPr>
        <w:t>as</w:t>
      </w:r>
      <w:r w:rsidR="00D75E70" w:rsidRPr="000B320A">
        <w:rPr>
          <w:szCs w:val="24"/>
          <w:lang w:eastAsia="lt-LT"/>
        </w:rPr>
        <w:t xml:space="preserve"> pagal </w:t>
      </w:r>
      <w:r w:rsidR="009E46AA" w:rsidRPr="000B320A">
        <w:rPr>
          <w:color w:val="000000"/>
          <w:szCs w:val="24"/>
        </w:rPr>
        <w:t>Lietuvos Respublikos teisės aktus, reglamentuojančius ši</w:t>
      </w:r>
      <w:r w:rsidR="003A4F92" w:rsidRPr="000B320A">
        <w:rPr>
          <w:color w:val="000000"/>
          <w:szCs w:val="24"/>
        </w:rPr>
        <w:t>o</w:t>
      </w:r>
      <w:r w:rsidR="009E46AA" w:rsidRPr="000B320A">
        <w:rPr>
          <w:color w:val="000000"/>
          <w:szCs w:val="24"/>
        </w:rPr>
        <w:t xml:space="preserve"> rinkini</w:t>
      </w:r>
      <w:r w:rsidR="003A4F92" w:rsidRPr="000B320A">
        <w:rPr>
          <w:color w:val="000000"/>
          <w:szCs w:val="24"/>
        </w:rPr>
        <w:t>o</w:t>
      </w:r>
      <w:r w:rsidR="009E46AA" w:rsidRPr="000B320A">
        <w:rPr>
          <w:color w:val="000000"/>
          <w:szCs w:val="24"/>
        </w:rPr>
        <w:t xml:space="preserve"> sudarymą.</w:t>
      </w:r>
    </w:p>
    <w:p w14:paraId="4D15AFBA" w14:textId="77777777" w:rsidR="00D717A7" w:rsidRPr="000B320A" w:rsidRDefault="00D717A7" w:rsidP="005203F4">
      <w:pPr>
        <w:tabs>
          <w:tab w:val="left" w:pos="709"/>
        </w:tabs>
        <w:spacing w:line="276" w:lineRule="auto"/>
        <w:ind w:firstLine="851"/>
        <w:jc w:val="both"/>
        <w:rPr>
          <w:b/>
          <w:color w:val="1F3864" w:themeColor="accent1" w:themeShade="80"/>
        </w:rPr>
      </w:pPr>
      <w:r w:rsidRPr="000B320A">
        <w:rPr>
          <w:b/>
          <w:color w:val="1F3864" w:themeColor="accent1" w:themeShade="80"/>
        </w:rPr>
        <w:t>Pagrindas pareikšti nuomonę dėl biudžeto vykdymo ataskaitų rinkinio</w:t>
      </w:r>
    </w:p>
    <w:p w14:paraId="540355ED" w14:textId="20172C4D" w:rsidR="00D717A7" w:rsidRPr="000B320A" w:rsidRDefault="00D717A7" w:rsidP="005203F4">
      <w:pPr>
        <w:tabs>
          <w:tab w:val="left" w:pos="709"/>
        </w:tabs>
        <w:spacing w:line="276" w:lineRule="auto"/>
        <w:ind w:firstLine="851"/>
        <w:jc w:val="both"/>
        <w:rPr>
          <w:szCs w:val="24"/>
          <w:lang w:val="de-DE"/>
        </w:rPr>
      </w:pPr>
      <w:r w:rsidRPr="000B320A">
        <w:rPr>
          <w:szCs w:val="24"/>
        </w:rPr>
        <w:t xml:space="preserve">Mes </w:t>
      </w:r>
      <w:r w:rsidR="003A4F92" w:rsidRPr="000B320A">
        <w:rPr>
          <w:szCs w:val="24"/>
        </w:rPr>
        <w:t>tikime</w:t>
      </w:r>
      <w:r w:rsidRPr="000B320A">
        <w:rPr>
          <w:szCs w:val="24"/>
        </w:rPr>
        <w:t>, kad mūsų surinkti audito įrodymai yra pakankami ir tinkami mūsų besąlygin</w:t>
      </w:r>
      <w:r w:rsidR="003A4F92" w:rsidRPr="000B320A">
        <w:rPr>
          <w:szCs w:val="24"/>
        </w:rPr>
        <w:t>ei</w:t>
      </w:r>
      <w:r w:rsidRPr="000B320A">
        <w:rPr>
          <w:szCs w:val="24"/>
        </w:rPr>
        <w:t xml:space="preserve"> nuomon</w:t>
      </w:r>
      <w:r w:rsidR="003A4F92" w:rsidRPr="000B320A">
        <w:rPr>
          <w:szCs w:val="24"/>
        </w:rPr>
        <w:t>ei</w:t>
      </w:r>
      <w:r w:rsidRPr="000B320A">
        <w:rPr>
          <w:szCs w:val="24"/>
        </w:rPr>
        <w:t xml:space="preserve"> </w:t>
      </w:r>
      <w:r w:rsidR="003A4F92" w:rsidRPr="000B320A">
        <w:rPr>
          <w:szCs w:val="24"/>
        </w:rPr>
        <w:t xml:space="preserve">pagrįsti </w:t>
      </w:r>
      <w:r w:rsidRPr="000B320A">
        <w:rPr>
          <w:szCs w:val="24"/>
        </w:rPr>
        <w:t xml:space="preserve">dėl </w:t>
      </w:r>
      <w:r w:rsidR="003A4F92" w:rsidRPr="000B320A">
        <w:rPr>
          <w:rFonts w:eastAsia="Calibri"/>
          <w:szCs w:val="24"/>
        </w:rPr>
        <w:t>Ukmergės rajono Vidiškių pagrindinės mokyklos</w:t>
      </w:r>
      <w:r w:rsidR="003A4F92" w:rsidRPr="000B320A">
        <w:rPr>
          <w:rFonts w:eastAsia="Calibri"/>
          <w:b/>
          <w:bCs/>
          <w:szCs w:val="24"/>
        </w:rPr>
        <w:t xml:space="preserve"> </w:t>
      </w:r>
      <w:r w:rsidR="001B4261" w:rsidRPr="000B320A">
        <w:rPr>
          <w:szCs w:val="24"/>
        </w:rPr>
        <w:t>biudžeto vykdymo</w:t>
      </w:r>
      <w:r w:rsidRPr="000B320A">
        <w:rPr>
          <w:szCs w:val="24"/>
        </w:rPr>
        <w:t xml:space="preserve"> ataskaitų rinkinio.</w:t>
      </w:r>
      <w:r w:rsidRPr="000B320A">
        <w:rPr>
          <w:szCs w:val="24"/>
          <w:lang w:val="de-DE"/>
        </w:rPr>
        <w:tab/>
      </w:r>
    </w:p>
    <w:p w14:paraId="1F045066" w14:textId="77777777" w:rsidR="009E46AA" w:rsidRPr="00C32F74" w:rsidRDefault="009E46AA" w:rsidP="005203F4">
      <w:pPr>
        <w:tabs>
          <w:tab w:val="left" w:pos="709"/>
        </w:tabs>
        <w:spacing w:line="276" w:lineRule="auto"/>
        <w:ind w:firstLine="851"/>
        <w:jc w:val="both"/>
        <w:rPr>
          <w:sz w:val="12"/>
          <w:szCs w:val="12"/>
          <w:lang w:val="de-DE"/>
        </w:rPr>
      </w:pPr>
    </w:p>
    <w:p w14:paraId="038D10BB" w14:textId="77777777" w:rsidR="009E46AA" w:rsidRPr="000B320A" w:rsidRDefault="009E46AA" w:rsidP="005203F4">
      <w:pPr>
        <w:spacing w:line="276" w:lineRule="auto"/>
        <w:ind w:firstLine="851"/>
        <w:contextualSpacing/>
        <w:jc w:val="both"/>
        <w:rPr>
          <w:b/>
          <w:iCs/>
          <w:color w:val="1F3864" w:themeColor="accent1" w:themeShade="80"/>
          <w:szCs w:val="24"/>
        </w:rPr>
      </w:pPr>
      <w:r w:rsidRPr="000B320A">
        <w:rPr>
          <w:b/>
          <w:iCs/>
          <w:color w:val="1F3864" w:themeColor="accent1" w:themeShade="80"/>
          <w:szCs w:val="24"/>
        </w:rPr>
        <w:t>Besąlyginė nuomonė dėl finansinių ataskaitų rinkinio</w:t>
      </w:r>
    </w:p>
    <w:p w14:paraId="55C787D6" w14:textId="59E69821" w:rsidR="009E46AA" w:rsidRPr="000B320A" w:rsidRDefault="009E46AA" w:rsidP="005203F4">
      <w:pPr>
        <w:spacing w:line="276" w:lineRule="auto"/>
        <w:ind w:firstLine="851"/>
        <w:jc w:val="both"/>
        <w:rPr>
          <w:sz w:val="16"/>
          <w:szCs w:val="16"/>
        </w:rPr>
      </w:pPr>
      <w:r w:rsidRPr="000B320A">
        <w:rPr>
          <w:szCs w:val="24"/>
          <w:lang w:eastAsia="lt-LT"/>
        </w:rPr>
        <w:t xml:space="preserve">Mes atlikome </w:t>
      </w:r>
      <w:r w:rsidR="005203F4" w:rsidRPr="000B320A">
        <w:rPr>
          <w:rFonts w:eastAsia="Calibri"/>
          <w:szCs w:val="24"/>
        </w:rPr>
        <w:t>Ukmergės rajono Vidiškių pagrindinės mokyklos</w:t>
      </w:r>
      <w:r w:rsidR="005203F4" w:rsidRPr="000B320A">
        <w:rPr>
          <w:rFonts w:eastAsia="Calibri"/>
          <w:b/>
          <w:bCs/>
          <w:szCs w:val="24"/>
        </w:rPr>
        <w:t xml:space="preserve"> </w:t>
      </w:r>
      <w:r w:rsidRPr="000B320A">
        <w:rPr>
          <w:szCs w:val="24"/>
        </w:rPr>
        <w:t>20</w:t>
      </w:r>
      <w:r w:rsidR="005203F4" w:rsidRPr="000B320A">
        <w:rPr>
          <w:szCs w:val="24"/>
        </w:rPr>
        <w:t>20</w:t>
      </w:r>
      <w:r w:rsidRPr="000B320A">
        <w:rPr>
          <w:szCs w:val="24"/>
          <w:lang w:eastAsia="lt-LT"/>
        </w:rPr>
        <w:t xml:space="preserve"> metų </w:t>
      </w:r>
      <w:r w:rsidRPr="000B320A">
        <w:rPr>
          <w:szCs w:val="24"/>
        </w:rPr>
        <w:t>finansinių ataskaitų rinkinio auditą</w:t>
      </w:r>
      <w:r w:rsidR="00377F79" w:rsidRPr="000B320A">
        <w:rPr>
          <w:szCs w:val="24"/>
        </w:rPr>
        <w:t>.</w:t>
      </w:r>
    </w:p>
    <w:p w14:paraId="62B2F588" w14:textId="67FCA689" w:rsidR="009E46AA" w:rsidRPr="000B320A" w:rsidRDefault="009E46AA" w:rsidP="005203F4">
      <w:pPr>
        <w:spacing w:line="276" w:lineRule="auto"/>
        <w:ind w:firstLine="851"/>
        <w:jc w:val="both"/>
        <w:rPr>
          <w:szCs w:val="24"/>
        </w:rPr>
      </w:pPr>
      <w:r w:rsidRPr="000B320A">
        <w:rPr>
          <w:szCs w:val="24"/>
        </w:rPr>
        <w:t xml:space="preserve">Mūsų nuomone, </w:t>
      </w:r>
      <w:r w:rsidR="005203F4" w:rsidRPr="000B320A">
        <w:rPr>
          <w:rFonts w:eastAsia="Calibri"/>
          <w:szCs w:val="24"/>
        </w:rPr>
        <w:t>Ukmergės rajono Vidiškių pagrindinės mokyklos</w:t>
      </w:r>
      <w:r w:rsidR="005203F4" w:rsidRPr="000B320A">
        <w:rPr>
          <w:rFonts w:eastAsia="Calibri"/>
          <w:b/>
          <w:bCs/>
          <w:szCs w:val="24"/>
        </w:rPr>
        <w:t xml:space="preserve"> </w:t>
      </w:r>
      <w:r w:rsidRPr="000B320A">
        <w:rPr>
          <w:szCs w:val="24"/>
        </w:rPr>
        <w:t>20</w:t>
      </w:r>
      <w:r w:rsidR="005203F4" w:rsidRPr="000B320A">
        <w:rPr>
          <w:szCs w:val="24"/>
        </w:rPr>
        <w:t>20</w:t>
      </w:r>
      <w:r w:rsidRPr="000B320A">
        <w:rPr>
          <w:szCs w:val="24"/>
        </w:rPr>
        <w:t xml:space="preserve"> m. gruodžio 31 d. finansin</w:t>
      </w:r>
      <w:r w:rsidR="006C09F6" w:rsidRPr="000B320A">
        <w:rPr>
          <w:szCs w:val="24"/>
        </w:rPr>
        <w:t>ės</w:t>
      </w:r>
      <w:r w:rsidRPr="000B320A">
        <w:rPr>
          <w:szCs w:val="24"/>
          <w:lang w:eastAsia="lt-LT"/>
        </w:rPr>
        <w:t xml:space="preserve"> b</w:t>
      </w:r>
      <w:r w:rsidRPr="000B320A">
        <w:rPr>
          <w:szCs w:val="24"/>
        </w:rPr>
        <w:t>ūkl</w:t>
      </w:r>
      <w:r w:rsidR="006C09F6" w:rsidRPr="000B320A">
        <w:rPr>
          <w:szCs w:val="24"/>
        </w:rPr>
        <w:t xml:space="preserve">ės, </w:t>
      </w:r>
      <w:r w:rsidRPr="000B320A">
        <w:rPr>
          <w:szCs w:val="24"/>
        </w:rPr>
        <w:t xml:space="preserve">veiklos </w:t>
      </w:r>
      <w:r w:rsidR="00D448A3" w:rsidRPr="000B320A">
        <w:rPr>
          <w:szCs w:val="24"/>
        </w:rPr>
        <w:t>r</w:t>
      </w:r>
      <w:r w:rsidRPr="000B320A">
        <w:rPr>
          <w:szCs w:val="24"/>
        </w:rPr>
        <w:t>ezultat</w:t>
      </w:r>
      <w:r w:rsidR="006C09F6" w:rsidRPr="000B320A">
        <w:rPr>
          <w:szCs w:val="24"/>
        </w:rPr>
        <w:t>ų</w:t>
      </w:r>
      <w:r w:rsidRPr="000B320A">
        <w:rPr>
          <w:szCs w:val="24"/>
        </w:rPr>
        <w:t>, grynojo turto pokyči</w:t>
      </w:r>
      <w:r w:rsidR="006C09F6" w:rsidRPr="000B320A">
        <w:rPr>
          <w:szCs w:val="24"/>
        </w:rPr>
        <w:t>ų</w:t>
      </w:r>
      <w:r w:rsidRPr="000B320A">
        <w:rPr>
          <w:szCs w:val="24"/>
        </w:rPr>
        <w:t xml:space="preserve"> ir pinigų sraut</w:t>
      </w:r>
      <w:r w:rsidR="006C09F6" w:rsidRPr="000B320A">
        <w:rPr>
          <w:szCs w:val="24"/>
        </w:rPr>
        <w:t>ų ataskaitos parengtos</w:t>
      </w:r>
      <w:r w:rsidRPr="000B320A">
        <w:rPr>
          <w:szCs w:val="24"/>
        </w:rPr>
        <w:t xml:space="preserve"> pagal Lietuvos Respublikos viešojo sektoriaus apskaitos ir finansinės atskaitomybės standartus.</w:t>
      </w:r>
    </w:p>
    <w:p w14:paraId="4EB55E64" w14:textId="77777777" w:rsidR="009E46AA" w:rsidRPr="000B320A" w:rsidRDefault="009E46AA" w:rsidP="005203F4">
      <w:pPr>
        <w:autoSpaceDE w:val="0"/>
        <w:autoSpaceDN w:val="0"/>
        <w:adjustRightInd w:val="0"/>
        <w:spacing w:line="276" w:lineRule="auto"/>
        <w:ind w:firstLine="851"/>
        <w:jc w:val="both"/>
        <w:rPr>
          <w:b/>
          <w:iCs/>
          <w:color w:val="1F3864" w:themeColor="accent1" w:themeShade="80"/>
          <w:szCs w:val="24"/>
        </w:rPr>
      </w:pPr>
      <w:r w:rsidRPr="000B320A">
        <w:rPr>
          <w:iCs/>
          <w:color w:val="1F3864" w:themeColor="accent1" w:themeShade="80"/>
          <w:szCs w:val="24"/>
        </w:rPr>
        <w:t xml:space="preserve"> </w:t>
      </w:r>
      <w:r w:rsidRPr="000B320A">
        <w:rPr>
          <w:b/>
          <w:iCs/>
          <w:color w:val="1F3864" w:themeColor="accent1" w:themeShade="80"/>
          <w:szCs w:val="24"/>
        </w:rPr>
        <w:t>Pagrindas besąlyginei nuomonei pareikšti dėl finansinių ataskaitų rinkinio</w:t>
      </w:r>
    </w:p>
    <w:p w14:paraId="6DF9CA2D" w14:textId="77777777" w:rsidR="009E46AA" w:rsidRPr="000B320A" w:rsidRDefault="009E46AA" w:rsidP="005203F4">
      <w:pPr>
        <w:autoSpaceDE w:val="0"/>
        <w:autoSpaceDN w:val="0"/>
        <w:adjustRightInd w:val="0"/>
        <w:spacing w:line="276" w:lineRule="auto"/>
        <w:ind w:firstLine="851"/>
        <w:jc w:val="both"/>
        <w:rPr>
          <w:rFonts w:eastAsia="Calibri"/>
          <w:sz w:val="22"/>
          <w:szCs w:val="22"/>
        </w:rPr>
      </w:pPr>
      <w:r w:rsidRPr="000B320A">
        <w:rPr>
          <w:szCs w:val="24"/>
        </w:rPr>
        <w:t>Mes manome, kad mūsų surinkti audito įrodymai yra pakankamai ir tinkamai pagrįsti mūsų besąlyginei nuomonei dėl finansinių ataskaitų rinkinio.</w:t>
      </w:r>
    </w:p>
    <w:p w14:paraId="395AEDB5" w14:textId="77777777" w:rsidR="00974A87" w:rsidRPr="000B320A" w:rsidRDefault="00974A87" w:rsidP="005203F4">
      <w:pPr>
        <w:tabs>
          <w:tab w:val="left" w:pos="709"/>
        </w:tabs>
        <w:spacing w:line="276" w:lineRule="auto"/>
        <w:ind w:firstLine="851"/>
        <w:jc w:val="both"/>
        <w:rPr>
          <w:b/>
          <w:sz w:val="16"/>
          <w:szCs w:val="16"/>
          <w:lang w:val="de-DE"/>
        </w:rPr>
      </w:pPr>
      <w:r w:rsidRPr="000B320A">
        <w:rPr>
          <w:b/>
          <w:szCs w:val="24"/>
          <w:lang w:val="de-DE"/>
        </w:rPr>
        <w:tab/>
      </w:r>
    </w:p>
    <w:p w14:paraId="705DFEF6" w14:textId="77777777" w:rsidR="00974A87" w:rsidRPr="000B320A" w:rsidRDefault="00974A87" w:rsidP="005203F4">
      <w:pPr>
        <w:tabs>
          <w:tab w:val="left" w:pos="709"/>
        </w:tabs>
        <w:spacing w:line="276" w:lineRule="auto"/>
        <w:ind w:firstLine="851"/>
        <w:jc w:val="both"/>
        <w:rPr>
          <w:b/>
          <w:color w:val="1F3864" w:themeColor="accent1" w:themeShade="80"/>
          <w:szCs w:val="24"/>
        </w:rPr>
      </w:pPr>
      <w:r w:rsidRPr="000B320A">
        <w:rPr>
          <w:b/>
          <w:color w:val="1F3864" w:themeColor="accent1" w:themeShade="80"/>
          <w:szCs w:val="24"/>
        </w:rPr>
        <w:t>Sąlyginė nuomonė dėl savivaldybės lėšų ir turto valdymo, naudojimo, disponavimo jais teisėtumo ir jų naudojimo įstatymų nustatytiems tikslams</w:t>
      </w:r>
    </w:p>
    <w:p w14:paraId="610B04C6" w14:textId="77777777" w:rsidR="00974A87" w:rsidRPr="000B320A" w:rsidRDefault="00974A87" w:rsidP="005203F4">
      <w:pPr>
        <w:tabs>
          <w:tab w:val="left" w:pos="709"/>
        </w:tabs>
        <w:spacing w:line="276" w:lineRule="auto"/>
        <w:ind w:firstLine="851"/>
        <w:jc w:val="both"/>
        <w:rPr>
          <w:b/>
          <w:sz w:val="16"/>
          <w:szCs w:val="16"/>
        </w:rPr>
      </w:pPr>
    </w:p>
    <w:p w14:paraId="6247EDD0" w14:textId="77777777" w:rsidR="008B757F" w:rsidRPr="000B320A" w:rsidRDefault="00974A87" w:rsidP="005203F4">
      <w:pPr>
        <w:tabs>
          <w:tab w:val="left" w:pos="709"/>
        </w:tabs>
        <w:spacing w:line="276" w:lineRule="auto"/>
        <w:ind w:firstLine="851"/>
        <w:jc w:val="both"/>
        <w:rPr>
          <w:szCs w:val="24"/>
        </w:rPr>
      </w:pPr>
      <w:r w:rsidRPr="000B320A">
        <w:rPr>
          <w:szCs w:val="24"/>
        </w:rPr>
        <w:t xml:space="preserve">Mes atlikome </w:t>
      </w:r>
      <w:bookmarkStart w:id="1" w:name="_Hlk74136501"/>
      <w:r w:rsidR="005203F4" w:rsidRPr="000B320A">
        <w:rPr>
          <w:rFonts w:eastAsia="Calibri"/>
          <w:szCs w:val="24"/>
        </w:rPr>
        <w:t>Ukmergės rajono Vidiškių pagrindinės mokyklos</w:t>
      </w:r>
      <w:r w:rsidR="005203F4" w:rsidRPr="000B320A">
        <w:rPr>
          <w:rFonts w:eastAsia="Calibri"/>
          <w:b/>
          <w:bCs/>
          <w:szCs w:val="24"/>
        </w:rPr>
        <w:t xml:space="preserve"> </w:t>
      </w:r>
      <w:bookmarkEnd w:id="1"/>
      <w:r w:rsidRPr="000B320A">
        <w:rPr>
          <w:szCs w:val="24"/>
        </w:rPr>
        <w:t xml:space="preserve">lėšų ir turto valdymo, naudojimo, disponavimo jais teisėtumo ir naudojimo įstatymų nustatytiems tikslams </w:t>
      </w:r>
      <w:r w:rsidR="008B757F" w:rsidRPr="000B320A">
        <w:rPr>
          <w:szCs w:val="24"/>
        </w:rPr>
        <w:t xml:space="preserve">2020 metais </w:t>
      </w:r>
      <w:r w:rsidRPr="000B320A">
        <w:rPr>
          <w:szCs w:val="24"/>
        </w:rPr>
        <w:t>auditą.</w:t>
      </w:r>
    </w:p>
    <w:p w14:paraId="7EC2FEDC" w14:textId="20306C85" w:rsidR="00974A87" w:rsidRDefault="008B757F" w:rsidP="005203F4">
      <w:pPr>
        <w:tabs>
          <w:tab w:val="left" w:pos="709"/>
        </w:tabs>
        <w:spacing w:line="276" w:lineRule="auto"/>
        <w:ind w:firstLine="851"/>
        <w:jc w:val="both"/>
      </w:pPr>
      <w:r w:rsidRPr="000B320A">
        <w:t xml:space="preserve"> Mūsų nuomone, išskyrus pastraipoje „Pagrindas pareikšti sąlyginę nuomonę dėl lėšų ir turto valdymo, naudojimo ir disponavimo jais teisėtumo ir naudojimo įstatymų nustatytiems tikslams“ aprašytų dalykų poveikį, </w:t>
      </w:r>
      <w:r w:rsidR="00C32F74" w:rsidRPr="000B320A">
        <w:rPr>
          <w:rFonts w:eastAsia="Calibri"/>
          <w:szCs w:val="24"/>
        </w:rPr>
        <w:t>Ukmergės rajono Vidiškių pagrindinės mokyklos</w:t>
      </w:r>
      <w:r w:rsidR="00C32F74" w:rsidRPr="000B320A">
        <w:rPr>
          <w:rFonts w:eastAsia="Calibri"/>
          <w:b/>
          <w:bCs/>
          <w:szCs w:val="24"/>
        </w:rPr>
        <w:t xml:space="preserve"> </w:t>
      </w:r>
      <w:r w:rsidRPr="000B320A">
        <w:t>visais reikšmingais atžvilgiais 2020 metais Savivaldybės lėšas ir turtą valdė, naudojo, disponavo jais teisėtai ir naudojo įstatymų nustatytiems tikslams.</w:t>
      </w:r>
    </w:p>
    <w:p w14:paraId="7CBFF6F7" w14:textId="6B725AF6" w:rsidR="00C32F74" w:rsidRDefault="00C32F74" w:rsidP="005203F4">
      <w:pPr>
        <w:tabs>
          <w:tab w:val="left" w:pos="709"/>
        </w:tabs>
        <w:spacing w:line="276" w:lineRule="auto"/>
        <w:ind w:firstLine="851"/>
        <w:jc w:val="both"/>
      </w:pPr>
    </w:p>
    <w:p w14:paraId="1D188BAD" w14:textId="77777777" w:rsidR="00C32F74" w:rsidRPr="000B320A" w:rsidRDefault="00C32F74" w:rsidP="005203F4">
      <w:pPr>
        <w:tabs>
          <w:tab w:val="left" w:pos="709"/>
        </w:tabs>
        <w:spacing w:line="276" w:lineRule="auto"/>
        <w:ind w:firstLine="851"/>
        <w:jc w:val="both"/>
        <w:rPr>
          <w:szCs w:val="24"/>
        </w:rPr>
      </w:pPr>
    </w:p>
    <w:p w14:paraId="7CE0CEC3" w14:textId="77777777" w:rsidR="008B757F" w:rsidRPr="000B320A" w:rsidRDefault="008B757F" w:rsidP="005203F4">
      <w:pPr>
        <w:tabs>
          <w:tab w:val="left" w:pos="709"/>
        </w:tabs>
        <w:spacing w:line="276" w:lineRule="auto"/>
        <w:ind w:firstLine="851"/>
        <w:jc w:val="both"/>
        <w:rPr>
          <w:sz w:val="16"/>
          <w:szCs w:val="16"/>
        </w:rPr>
      </w:pPr>
    </w:p>
    <w:p w14:paraId="1CC811FB" w14:textId="59B2977A" w:rsidR="00974A87" w:rsidRPr="000B320A" w:rsidRDefault="00974A87" w:rsidP="005203F4">
      <w:pPr>
        <w:tabs>
          <w:tab w:val="left" w:pos="709"/>
        </w:tabs>
        <w:spacing w:line="276" w:lineRule="auto"/>
        <w:ind w:firstLine="851"/>
        <w:jc w:val="both"/>
        <w:rPr>
          <w:b/>
          <w:color w:val="1F3864" w:themeColor="accent1" w:themeShade="80"/>
          <w:szCs w:val="24"/>
        </w:rPr>
      </w:pPr>
      <w:r w:rsidRPr="000B320A">
        <w:rPr>
          <w:b/>
          <w:color w:val="1F3864" w:themeColor="accent1" w:themeShade="80"/>
          <w:szCs w:val="24"/>
        </w:rPr>
        <w:t>Pagrindas pareikšti sąlyginę nuomonę dėl</w:t>
      </w:r>
      <w:r w:rsidRPr="000B320A">
        <w:rPr>
          <w:color w:val="1F3864" w:themeColor="accent1" w:themeShade="80"/>
          <w:szCs w:val="24"/>
        </w:rPr>
        <w:t xml:space="preserve"> </w:t>
      </w:r>
      <w:r w:rsidRPr="000B320A">
        <w:rPr>
          <w:b/>
          <w:color w:val="1F3864" w:themeColor="accent1" w:themeShade="80"/>
          <w:szCs w:val="24"/>
        </w:rPr>
        <w:t>lėšų ir turto valdymo, naudojimo, disponavimo jais teisėtumo ir naudojimo įstatymų nustatytiems tikslams</w:t>
      </w:r>
    </w:p>
    <w:p w14:paraId="336A0195" w14:textId="77777777" w:rsidR="008B757F" w:rsidRPr="000B320A" w:rsidRDefault="008B757F" w:rsidP="005203F4">
      <w:pPr>
        <w:tabs>
          <w:tab w:val="left" w:pos="709"/>
        </w:tabs>
        <w:spacing w:line="276" w:lineRule="auto"/>
        <w:ind w:firstLine="851"/>
        <w:jc w:val="both"/>
        <w:rPr>
          <w:b/>
          <w:color w:val="1F3864" w:themeColor="accent1" w:themeShade="80"/>
          <w:sz w:val="12"/>
          <w:szCs w:val="12"/>
        </w:rPr>
      </w:pPr>
    </w:p>
    <w:p w14:paraId="6160E20C" w14:textId="1005F827" w:rsidR="008B757F" w:rsidRPr="000B320A" w:rsidRDefault="008B757F" w:rsidP="005203F4">
      <w:pPr>
        <w:tabs>
          <w:tab w:val="left" w:pos="709"/>
        </w:tabs>
        <w:spacing w:line="276" w:lineRule="auto"/>
        <w:ind w:firstLine="851"/>
        <w:jc w:val="both"/>
        <w:rPr>
          <w:bCs/>
          <w:szCs w:val="24"/>
        </w:rPr>
      </w:pPr>
      <w:r w:rsidRPr="000B320A">
        <w:rPr>
          <w:bCs/>
          <w:szCs w:val="24"/>
        </w:rPr>
        <w:t>Nustatėme, kad:</w:t>
      </w:r>
    </w:p>
    <w:p w14:paraId="5B78EA39" w14:textId="6D8304B4" w:rsidR="00D30D8F" w:rsidRPr="000B320A" w:rsidRDefault="00D14F66" w:rsidP="00D14F66">
      <w:pPr>
        <w:numPr>
          <w:ilvl w:val="0"/>
          <w:numId w:val="17"/>
        </w:numPr>
        <w:spacing w:line="276" w:lineRule="auto"/>
        <w:ind w:left="0" w:firstLine="851"/>
        <w:jc w:val="both"/>
        <w:rPr>
          <w:szCs w:val="24"/>
        </w:rPr>
      </w:pPr>
      <w:r w:rsidRPr="000B320A">
        <w:rPr>
          <w:szCs w:val="24"/>
        </w:rPr>
        <w:t xml:space="preserve">Mokyklos buhalterinė apskaita nebuvo tvarkoma kompiuterine programa. </w:t>
      </w:r>
      <w:r w:rsidR="00974A87" w:rsidRPr="000B320A">
        <w:rPr>
          <w:szCs w:val="24"/>
        </w:rPr>
        <w:t>Pagrindinis apskaitos registras Didžioji knyga taip pat tvarkoma</w:t>
      </w:r>
      <w:r w:rsidR="009B6557" w:rsidRPr="000B320A">
        <w:rPr>
          <w:szCs w:val="24"/>
        </w:rPr>
        <w:t>s</w:t>
      </w:r>
      <w:r w:rsidR="00974A87" w:rsidRPr="000B320A">
        <w:rPr>
          <w:szCs w:val="24"/>
        </w:rPr>
        <w:t xml:space="preserve"> rankiniu būdu;</w:t>
      </w:r>
    </w:p>
    <w:p w14:paraId="0F7213D9" w14:textId="10FD3C41" w:rsidR="00D14F66" w:rsidRPr="000B320A" w:rsidRDefault="00D14F66" w:rsidP="00D14F66">
      <w:pPr>
        <w:numPr>
          <w:ilvl w:val="0"/>
          <w:numId w:val="17"/>
        </w:numPr>
        <w:spacing w:line="276" w:lineRule="auto"/>
        <w:ind w:left="0" w:firstLine="851"/>
        <w:jc w:val="both"/>
        <w:rPr>
          <w:rFonts w:eastAsia="Calibri"/>
          <w:szCs w:val="24"/>
        </w:rPr>
      </w:pPr>
      <w:r w:rsidRPr="000B320A">
        <w:rPr>
          <w:rFonts w:eastAsia="Calibri"/>
          <w:szCs w:val="24"/>
        </w:rPr>
        <w:t xml:space="preserve">Dėl klaidingo </w:t>
      </w:r>
      <w:r w:rsidRPr="000B320A">
        <w:rPr>
          <w:rFonts w:eastAsia="Calibri"/>
          <w:bCs/>
          <w:iCs/>
          <w:szCs w:val="24"/>
        </w:rPr>
        <w:t>ilgalaikio turto nusidėvėjimo skaičiavimo</w:t>
      </w:r>
      <w:r w:rsidRPr="000B320A">
        <w:rPr>
          <w:rFonts w:eastAsia="Calibri"/>
          <w:szCs w:val="24"/>
        </w:rPr>
        <w:t xml:space="preserve"> VRA B.II „Nusidėvėjimo ir amortizacijos sąnaudos“ nuo 2017 m. atvaizduotos neteisingai; </w:t>
      </w:r>
    </w:p>
    <w:p w14:paraId="5DFD5271" w14:textId="786208F5" w:rsidR="00D14F66" w:rsidRPr="000B320A" w:rsidRDefault="00D0339A" w:rsidP="00D14F66">
      <w:pPr>
        <w:numPr>
          <w:ilvl w:val="0"/>
          <w:numId w:val="17"/>
        </w:numPr>
        <w:spacing w:line="276" w:lineRule="auto"/>
        <w:ind w:left="0" w:firstLine="851"/>
        <w:jc w:val="both"/>
        <w:rPr>
          <w:rFonts w:eastAsia="Calibri"/>
          <w:szCs w:val="24"/>
        </w:rPr>
      </w:pPr>
      <w:r w:rsidRPr="000B320A">
        <w:rPr>
          <w:iCs/>
          <w:szCs w:val="24"/>
        </w:rPr>
        <w:t>Dėl neteisingai paskaičiuoto 855,39 Eur darbo užmokesčio</w:t>
      </w:r>
      <w:r w:rsidR="00DE4DDF">
        <w:rPr>
          <w:iCs/>
          <w:szCs w:val="24"/>
        </w:rPr>
        <w:t>;</w:t>
      </w:r>
    </w:p>
    <w:p w14:paraId="26702CB9" w14:textId="4C9A0E4C" w:rsidR="00D14F66" w:rsidRPr="000B320A" w:rsidRDefault="00D14F66" w:rsidP="00D14F66">
      <w:pPr>
        <w:numPr>
          <w:ilvl w:val="0"/>
          <w:numId w:val="17"/>
        </w:numPr>
        <w:spacing w:line="276" w:lineRule="auto"/>
        <w:ind w:left="0" w:firstLine="851"/>
        <w:jc w:val="both"/>
        <w:rPr>
          <w:rFonts w:eastAsia="Calibri"/>
          <w:i/>
          <w:iCs/>
        </w:rPr>
      </w:pPr>
      <w:r w:rsidRPr="000B320A">
        <w:rPr>
          <w:bCs/>
          <w:iCs/>
        </w:rPr>
        <w:t>Dėl išankstinio sąnaudų priskaitymo, Mokyklos FAR ir VRA ataskaitos pagal 2020 m. gruodžio 31 d. duomenis pateiktos neteisingos</w:t>
      </w:r>
      <w:r w:rsidR="00DE4DDF">
        <w:rPr>
          <w:bCs/>
          <w:iCs/>
        </w:rPr>
        <w:t xml:space="preserve"> (žr. audito ataskaitos 2; 3 skyrius).</w:t>
      </w:r>
    </w:p>
    <w:p w14:paraId="221D50D4" w14:textId="77777777" w:rsidR="008B757F" w:rsidRPr="000B320A" w:rsidRDefault="008B757F" w:rsidP="008B757F">
      <w:pPr>
        <w:spacing w:line="276" w:lineRule="auto"/>
        <w:ind w:firstLine="851"/>
        <w:jc w:val="both"/>
      </w:pPr>
      <w:r w:rsidRPr="000B320A">
        <w:t xml:space="preserve">Auditą atlikome pagal Valstybinio audito reikalavimus, tarptautinius audito standartus. Mūsų atsakomybė pagal šiuos standartus išsamiai apibūdinta šios išvados skyriuje „Auditoriaus atsakomybė už auditą“. Esame nepriklausomi nuo audituojamo subjekto pagal Savivaldybės kontrolierių profesinės etikos kodeksą ir laikėmės kitų šiame kodekse nustatytų etikos reikalavimų. </w:t>
      </w:r>
    </w:p>
    <w:p w14:paraId="3B9BAE2D" w14:textId="32953BA1" w:rsidR="008B757F" w:rsidRPr="000B320A" w:rsidRDefault="008B757F" w:rsidP="008B757F">
      <w:pPr>
        <w:spacing w:line="276" w:lineRule="auto"/>
        <w:ind w:firstLine="851"/>
        <w:jc w:val="both"/>
        <w:rPr>
          <w:rFonts w:eastAsia="Calibri"/>
          <w:i/>
          <w:iCs/>
        </w:rPr>
      </w:pPr>
      <w:r w:rsidRPr="000B320A">
        <w:t>Mes manome, kad mūsų surinkti audito įrodymai yra pakankami ir tinkami pagrįsti mūsų sąlyginę nuomonę dėl lėšų ir turto valdymo, naudojimo ir disponavimo jais teisėtumo ir jų naudojimo įstatymų nustatytiems tikslams.</w:t>
      </w:r>
    </w:p>
    <w:p w14:paraId="5B7DF7C8" w14:textId="77777777" w:rsidR="00974A87" w:rsidRPr="000B320A" w:rsidRDefault="00974A87" w:rsidP="005203F4">
      <w:pPr>
        <w:tabs>
          <w:tab w:val="left" w:pos="709"/>
        </w:tabs>
        <w:spacing w:line="276" w:lineRule="auto"/>
        <w:jc w:val="both"/>
        <w:rPr>
          <w:b/>
          <w:sz w:val="16"/>
          <w:szCs w:val="16"/>
          <w:lang w:val="de-DE"/>
        </w:rPr>
      </w:pPr>
    </w:p>
    <w:p w14:paraId="5183D2D4" w14:textId="5EFEE2FD" w:rsidR="001524B2" w:rsidRPr="000B320A" w:rsidRDefault="001524B2" w:rsidP="00D14F66">
      <w:pPr>
        <w:tabs>
          <w:tab w:val="left" w:pos="709"/>
        </w:tabs>
        <w:spacing w:line="276" w:lineRule="auto"/>
        <w:ind w:firstLine="851"/>
        <w:jc w:val="both"/>
        <w:rPr>
          <w:b/>
          <w:bCs/>
          <w:color w:val="1F3864" w:themeColor="accent1" w:themeShade="80"/>
        </w:rPr>
      </w:pPr>
      <w:r w:rsidRPr="000B320A">
        <w:rPr>
          <w:b/>
          <w:bCs/>
          <w:color w:val="1F3864" w:themeColor="accent1" w:themeShade="80"/>
        </w:rPr>
        <w:t>Vadovybės atsakomybė</w:t>
      </w:r>
    </w:p>
    <w:p w14:paraId="73570010" w14:textId="77777777" w:rsidR="001524B2" w:rsidRPr="000B320A" w:rsidRDefault="001524B2" w:rsidP="00D14F66">
      <w:pPr>
        <w:tabs>
          <w:tab w:val="left" w:pos="709"/>
        </w:tabs>
        <w:spacing w:line="276" w:lineRule="auto"/>
        <w:ind w:firstLine="851"/>
        <w:jc w:val="both"/>
        <w:rPr>
          <w:rFonts w:eastAsia="Calibri"/>
          <w:b/>
          <w:bCs/>
          <w:color w:val="2F5496" w:themeColor="accent1" w:themeShade="BF"/>
          <w:sz w:val="12"/>
          <w:szCs w:val="12"/>
        </w:rPr>
      </w:pPr>
    </w:p>
    <w:p w14:paraId="37DA8491" w14:textId="77777777" w:rsidR="001524B2" w:rsidRPr="000B320A" w:rsidRDefault="005203F4" w:rsidP="00D14F66">
      <w:pPr>
        <w:tabs>
          <w:tab w:val="left" w:pos="709"/>
        </w:tabs>
        <w:spacing w:line="276" w:lineRule="auto"/>
        <w:ind w:firstLine="851"/>
        <w:jc w:val="both"/>
      </w:pPr>
      <w:r w:rsidRPr="000B320A">
        <w:rPr>
          <w:rFonts w:eastAsia="Calibri"/>
          <w:szCs w:val="24"/>
        </w:rPr>
        <w:t>Ukmergės rajono Vidiškių pagrindinės mokyklos</w:t>
      </w:r>
      <w:r w:rsidRPr="000B320A">
        <w:rPr>
          <w:rFonts w:eastAsia="Calibri"/>
          <w:b/>
          <w:bCs/>
          <w:szCs w:val="24"/>
        </w:rPr>
        <w:t xml:space="preserve"> </w:t>
      </w:r>
      <w:r w:rsidR="00974A87" w:rsidRPr="000B320A">
        <w:rPr>
          <w:color w:val="000000"/>
          <w:szCs w:val="24"/>
        </w:rPr>
        <w:t xml:space="preserve">direktorius yra atsakingas už </w:t>
      </w:r>
      <w:r w:rsidR="001524B2" w:rsidRPr="000B320A">
        <w:rPr>
          <w:color w:val="000000"/>
          <w:szCs w:val="24"/>
        </w:rPr>
        <w:t xml:space="preserve">Mokyklos </w:t>
      </w:r>
      <w:r w:rsidR="001524B2" w:rsidRPr="000B320A">
        <w:t xml:space="preserve">apskaitos politikos parinkimą ir jos įgyvendinimą, finansinių ataskaitų rinkinio parengimą ir teisingą pateikimą pagal Viešojo sektoriaus atskaitomybės įstatymą, Viešojo sektoriaus apskaitos ir finansinės atskaitomybės standartus, biudžeto vykdymo ataskaitų rinkinio parengimą ir teisingą pateikimą pagal Lietuvos Respublikos teisės aktus, reglamentuojančius šio rinkinio sudarymą, bei už lėšų ir turto valdymo, naudojimo ir disponavimo jais teisėtumą, bei tokią vidaus kontrolę, kokia, vadovybės nuomone, yra būtina parengti finansinėms ir biudžeto vykdymo ataskaitoms be reikšmingų iškraipymų dėl apgaulės ar klaidos ir užtikrinti teisėtą lėšų ir turto valdymą, naudojimą ir disponavimą jais. </w:t>
      </w:r>
    </w:p>
    <w:p w14:paraId="6228FC27" w14:textId="77777777" w:rsidR="009F72E6" w:rsidRPr="000B320A" w:rsidRDefault="009F72E6" w:rsidP="00D14F66">
      <w:pPr>
        <w:tabs>
          <w:tab w:val="left" w:pos="709"/>
        </w:tabs>
        <w:spacing w:line="276" w:lineRule="auto"/>
        <w:ind w:firstLine="851"/>
        <w:jc w:val="both"/>
        <w:rPr>
          <w:sz w:val="16"/>
          <w:szCs w:val="16"/>
        </w:rPr>
      </w:pPr>
    </w:p>
    <w:p w14:paraId="512C889B" w14:textId="37EDB113" w:rsidR="001524B2" w:rsidRPr="000B320A" w:rsidRDefault="001524B2" w:rsidP="00D14F66">
      <w:pPr>
        <w:tabs>
          <w:tab w:val="left" w:pos="709"/>
        </w:tabs>
        <w:spacing w:line="276" w:lineRule="auto"/>
        <w:ind w:firstLine="851"/>
        <w:rPr>
          <w:b/>
          <w:bCs/>
          <w:color w:val="1F3864" w:themeColor="accent1" w:themeShade="80"/>
        </w:rPr>
      </w:pPr>
      <w:r w:rsidRPr="000B320A">
        <w:rPr>
          <w:b/>
          <w:bCs/>
          <w:color w:val="1F3864" w:themeColor="accent1" w:themeShade="80"/>
        </w:rPr>
        <w:t>Auditoriaus atsakomybė</w:t>
      </w:r>
    </w:p>
    <w:p w14:paraId="34AF02E4" w14:textId="77777777" w:rsidR="001524B2" w:rsidRPr="000B320A" w:rsidRDefault="001524B2" w:rsidP="00D14F66">
      <w:pPr>
        <w:tabs>
          <w:tab w:val="left" w:pos="709"/>
        </w:tabs>
        <w:spacing w:line="276" w:lineRule="auto"/>
        <w:ind w:firstLine="851"/>
        <w:rPr>
          <w:b/>
          <w:bCs/>
          <w:color w:val="2F5496" w:themeColor="accent1" w:themeShade="BF"/>
          <w:sz w:val="12"/>
          <w:szCs w:val="12"/>
        </w:rPr>
      </w:pPr>
    </w:p>
    <w:p w14:paraId="595E3F6E" w14:textId="1A75E562" w:rsidR="00974A87" w:rsidRPr="000B320A" w:rsidRDefault="001524B2" w:rsidP="001524B2">
      <w:pPr>
        <w:tabs>
          <w:tab w:val="left" w:pos="709"/>
        </w:tabs>
        <w:spacing w:line="276" w:lineRule="auto"/>
        <w:ind w:firstLine="851"/>
        <w:jc w:val="both"/>
      </w:pPr>
      <w:r w:rsidRPr="000B320A">
        <w:t xml:space="preserve">Mūsų tikslas yra gauti pakankamą užtikrinimą dėl to, ar </w:t>
      </w:r>
      <w:r w:rsidRPr="000B320A">
        <w:rPr>
          <w:rFonts w:eastAsia="Calibri"/>
          <w:szCs w:val="24"/>
        </w:rPr>
        <w:t>Ukmergės rajono Vidiškių pagrindinės mokyklos</w:t>
      </w:r>
      <w:r w:rsidRPr="000B320A">
        <w:rPr>
          <w:rFonts w:eastAsia="Calibri"/>
          <w:b/>
          <w:bCs/>
          <w:szCs w:val="24"/>
        </w:rPr>
        <w:t xml:space="preserve"> </w:t>
      </w:r>
      <w:r w:rsidRPr="000B320A">
        <w:t>finansinės ir biudžeto vykdymo ataskaitos nėra reikšmingai iškraipytos dėl apgaulės ar klaidos, dėl lėšų ir turto valdymo, naudojimo ir disponavimo jais 2020 metais teisėtumo, ir išleisti auditoriaus išvadą, kurioje pateikiama mūsų nuomonė. Pakankamas užtikrinimas – tai aukšto lygio užtikrinimas, o ne garantija, kad reikšmingą iškraipymą, jeigu jis yra, visada galima nustatyti auditu, kuris atliekamas pagal Valstybinio audito reikalavimus, 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2D057CF0" w14:textId="77777777" w:rsidR="001524B2" w:rsidRPr="000B320A" w:rsidRDefault="001524B2" w:rsidP="001524B2">
      <w:pPr>
        <w:tabs>
          <w:tab w:val="left" w:pos="709"/>
        </w:tabs>
        <w:spacing w:line="276" w:lineRule="auto"/>
        <w:ind w:firstLine="851"/>
        <w:jc w:val="both"/>
        <w:rPr>
          <w:b/>
          <w:sz w:val="16"/>
          <w:szCs w:val="16"/>
        </w:rPr>
      </w:pPr>
    </w:p>
    <w:p w14:paraId="27C5F57E" w14:textId="64587920" w:rsidR="009F72E6" w:rsidRPr="000B320A" w:rsidRDefault="009F72E6" w:rsidP="00D14F66">
      <w:pPr>
        <w:spacing w:line="276" w:lineRule="auto"/>
        <w:ind w:firstLine="851"/>
        <w:jc w:val="both"/>
        <w:rPr>
          <w:szCs w:val="24"/>
        </w:rPr>
      </w:pPr>
      <w:r w:rsidRPr="000B320A">
        <w:rPr>
          <w:szCs w:val="24"/>
        </w:rPr>
        <w:t>Audito išvad</w:t>
      </w:r>
      <w:r w:rsidR="006C09F6" w:rsidRPr="000B320A">
        <w:rPr>
          <w:szCs w:val="24"/>
        </w:rPr>
        <w:t>ą</w:t>
      </w:r>
      <w:r w:rsidRPr="000B320A">
        <w:rPr>
          <w:szCs w:val="24"/>
        </w:rPr>
        <w:t xml:space="preserve"> teikiame kartu su audito ataskaita</w:t>
      </w:r>
      <w:r w:rsidR="001524B2" w:rsidRPr="000B320A">
        <w:rPr>
          <w:szCs w:val="24"/>
        </w:rPr>
        <w:t>.</w:t>
      </w:r>
    </w:p>
    <w:p w14:paraId="5617CC14" w14:textId="3612E573" w:rsidR="00D448A3" w:rsidRDefault="00D448A3" w:rsidP="003E629F">
      <w:pPr>
        <w:shd w:val="clear" w:color="auto" w:fill="FFFFFF"/>
        <w:spacing w:line="276" w:lineRule="auto"/>
        <w:ind w:firstLine="709"/>
        <w:jc w:val="both"/>
        <w:rPr>
          <w:szCs w:val="24"/>
        </w:rPr>
      </w:pPr>
    </w:p>
    <w:p w14:paraId="0DF94EA3" w14:textId="77777777" w:rsidR="000B320A" w:rsidRPr="000B320A" w:rsidRDefault="000B320A" w:rsidP="003E629F">
      <w:pPr>
        <w:shd w:val="clear" w:color="auto" w:fill="FFFFFF"/>
        <w:spacing w:line="276" w:lineRule="auto"/>
        <w:ind w:firstLine="709"/>
        <w:jc w:val="both"/>
        <w:rPr>
          <w:szCs w:val="24"/>
        </w:rPr>
      </w:pPr>
    </w:p>
    <w:p w14:paraId="74F01921" w14:textId="3A00EB9E" w:rsidR="00D0339A" w:rsidRPr="000B320A" w:rsidRDefault="00D448A3" w:rsidP="00D0339A">
      <w:pPr>
        <w:tabs>
          <w:tab w:val="left" w:pos="709"/>
        </w:tabs>
        <w:spacing w:line="276" w:lineRule="auto"/>
        <w:jc w:val="both"/>
        <w:rPr>
          <w:szCs w:val="24"/>
        </w:rPr>
      </w:pPr>
      <w:r w:rsidRPr="000B320A">
        <w:rPr>
          <w:szCs w:val="24"/>
        </w:rPr>
        <w:t>Savivaldybės kontrolierė</w:t>
      </w:r>
      <w:r w:rsidR="00D14F66" w:rsidRPr="000B320A">
        <w:rPr>
          <w:szCs w:val="24"/>
        </w:rPr>
        <w:tab/>
      </w:r>
      <w:r w:rsidR="00D14F66" w:rsidRPr="000B320A">
        <w:rPr>
          <w:szCs w:val="24"/>
        </w:rPr>
        <w:tab/>
      </w:r>
      <w:r w:rsidR="00D14F66" w:rsidRPr="000B320A">
        <w:rPr>
          <w:szCs w:val="24"/>
        </w:rPr>
        <w:tab/>
      </w:r>
      <w:r w:rsidR="00D14F66" w:rsidRPr="000B320A">
        <w:rPr>
          <w:szCs w:val="24"/>
        </w:rPr>
        <w:tab/>
      </w:r>
      <w:r w:rsidRPr="000B320A">
        <w:rPr>
          <w:szCs w:val="24"/>
        </w:rPr>
        <w:t>Onutė Mikelienė</w:t>
      </w:r>
    </w:p>
    <w:p w14:paraId="505BE424" w14:textId="77777777" w:rsidR="00D0339A" w:rsidRPr="000B320A" w:rsidRDefault="00D0339A" w:rsidP="00D0339A">
      <w:pPr>
        <w:tabs>
          <w:tab w:val="left" w:pos="709"/>
        </w:tabs>
        <w:spacing w:line="276" w:lineRule="auto"/>
        <w:jc w:val="both"/>
        <w:rPr>
          <w:rFonts w:asciiTheme="majorBidi" w:hAnsiTheme="majorBidi" w:cstheme="majorBidi"/>
          <w:sz w:val="12"/>
          <w:szCs w:val="12"/>
        </w:rPr>
      </w:pPr>
    </w:p>
    <w:sectPr w:rsidR="00D0339A" w:rsidRPr="000B320A" w:rsidSect="00D14F66">
      <w:footerReference w:type="default" r:id="rId9"/>
      <w:footerReference w:type="first" r:id="rId10"/>
      <w:pgSz w:w="11906" w:h="16838"/>
      <w:pgMar w:top="993" w:right="566" w:bottom="39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5E83" w14:textId="77777777" w:rsidR="00956B1C" w:rsidRDefault="00956B1C" w:rsidP="007C2254">
      <w:r>
        <w:separator/>
      </w:r>
    </w:p>
  </w:endnote>
  <w:endnote w:type="continuationSeparator" w:id="0">
    <w:p w14:paraId="6F28E78B"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C365"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12ADDC73"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3A6"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4265E563"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DB94" w14:textId="77777777" w:rsidR="00956B1C" w:rsidRDefault="00956B1C" w:rsidP="007C2254">
      <w:r>
        <w:separator/>
      </w:r>
    </w:p>
  </w:footnote>
  <w:footnote w:type="continuationSeparator" w:id="0">
    <w:p w14:paraId="7D60CB28" w14:textId="77777777" w:rsidR="00956B1C" w:rsidRDefault="00956B1C" w:rsidP="007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6"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7"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6"/>
  </w:num>
  <w:num w:numId="6">
    <w:abstractNumId w:val="12"/>
  </w:num>
  <w:num w:numId="7">
    <w:abstractNumId w:val="15"/>
  </w:num>
  <w:num w:numId="8">
    <w:abstractNumId w:val="1"/>
  </w:num>
  <w:num w:numId="9">
    <w:abstractNumId w:val="7"/>
  </w:num>
  <w:num w:numId="10">
    <w:abstractNumId w:val="4"/>
  </w:num>
  <w:num w:numId="11">
    <w:abstractNumId w:val="8"/>
  </w:num>
  <w:num w:numId="12">
    <w:abstractNumId w:val="14"/>
  </w:num>
  <w:num w:numId="13">
    <w:abstractNumId w:val="11"/>
  </w:num>
  <w:num w:numId="14">
    <w:abstractNumId w:val="5"/>
  </w:num>
  <w:num w:numId="15">
    <w:abstractNumId w:val="9"/>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66615"/>
    <w:rsid w:val="00073A43"/>
    <w:rsid w:val="0007781B"/>
    <w:rsid w:val="00090DC7"/>
    <w:rsid w:val="000A36AD"/>
    <w:rsid w:val="000A62F2"/>
    <w:rsid w:val="000A66E7"/>
    <w:rsid w:val="000A675E"/>
    <w:rsid w:val="000B320A"/>
    <w:rsid w:val="000B3B1F"/>
    <w:rsid w:val="000C1FCB"/>
    <w:rsid w:val="000C7D07"/>
    <w:rsid w:val="000D36BA"/>
    <w:rsid w:val="001005F6"/>
    <w:rsid w:val="00102E74"/>
    <w:rsid w:val="00111A91"/>
    <w:rsid w:val="00113071"/>
    <w:rsid w:val="00113EAD"/>
    <w:rsid w:val="001203EE"/>
    <w:rsid w:val="00134EB0"/>
    <w:rsid w:val="0013662B"/>
    <w:rsid w:val="001402E5"/>
    <w:rsid w:val="0015049C"/>
    <w:rsid w:val="001506B3"/>
    <w:rsid w:val="001524B2"/>
    <w:rsid w:val="001653C3"/>
    <w:rsid w:val="001656D2"/>
    <w:rsid w:val="001A53C8"/>
    <w:rsid w:val="001B4261"/>
    <w:rsid w:val="001B70E3"/>
    <w:rsid w:val="001C2F9D"/>
    <w:rsid w:val="001C7C7B"/>
    <w:rsid w:val="001E64D7"/>
    <w:rsid w:val="001F5F21"/>
    <w:rsid w:val="00212089"/>
    <w:rsid w:val="00235AD5"/>
    <w:rsid w:val="00253502"/>
    <w:rsid w:val="00277988"/>
    <w:rsid w:val="00293725"/>
    <w:rsid w:val="00296D2D"/>
    <w:rsid w:val="002971FF"/>
    <w:rsid w:val="00297B90"/>
    <w:rsid w:val="002A01D5"/>
    <w:rsid w:val="002C1B0E"/>
    <w:rsid w:val="002E56B2"/>
    <w:rsid w:val="002F054E"/>
    <w:rsid w:val="0030016C"/>
    <w:rsid w:val="003173DA"/>
    <w:rsid w:val="0032586C"/>
    <w:rsid w:val="00344667"/>
    <w:rsid w:val="00350A57"/>
    <w:rsid w:val="00353F2F"/>
    <w:rsid w:val="003616E5"/>
    <w:rsid w:val="003768AC"/>
    <w:rsid w:val="00377829"/>
    <w:rsid w:val="00377F79"/>
    <w:rsid w:val="003836EE"/>
    <w:rsid w:val="00385E19"/>
    <w:rsid w:val="00386AAE"/>
    <w:rsid w:val="00392904"/>
    <w:rsid w:val="00395DFA"/>
    <w:rsid w:val="00397B07"/>
    <w:rsid w:val="003A4F92"/>
    <w:rsid w:val="003D2D1B"/>
    <w:rsid w:val="003E629F"/>
    <w:rsid w:val="00405774"/>
    <w:rsid w:val="004120ED"/>
    <w:rsid w:val="00420FC4"/>
    <w:rsid w:val="004344B3"/>
    <w:rsid w:val="00440A8A"/>
    <w:rsid w:val="00464C76"/>
    <w:rsid w:val="0047485C"/>
    <w:rsid w:val="004802D0"/>
    <w:rsid w:val="004A1E5E"/>
    <w:rsid w:val="004E495C"/>
    <w:rsid w:val="004F3199"/>
    <w:rsid w:val="00511DA6"/>
    <w:rsid w:val="005203F4"/>
    <w:rsid w:val="00536332"/>
    <w:rsid w:val="0054728F"/>
    <w:rsid w:val="00557AAE"/>
    <w:rsid w:val="0057339F"/>
    <w:rsid w:val="00585FA5"/>
    <w:rsid w:val="00596F29"/>
    <w:rsid w:val="005D32F4"/>
    <w:rsid w:val="005D7131"/>
    <w:rsid w:val="005E1BBA"/>
    <w:rsid w:val="005E2CF1"/>
    <w:rsid w:val="005F5DB3"/>
    <w:rsid w:val="00605E07"/>
    <w:rsid w:val="00614C66"/>
    <w:rsid w:val="00617311"/>
    <w:rsid w:val="0062740E"/>
    <w:rsid w:val="00631024"/>
    <w:rsid w:val="00642008"/>
    <w:rsid w:val="00653E4E"/>
    <w:rsid w:val="00695A7A"/>
    <w:rsid w:val="006B2382"/>
    <w:rsid w:val="006C09F6"/>
    <w:rsid w:val="006C4261"/>
    <w:rsid w:val="006C7C0A"/>
    <w:rsid w:val="006E0118"/>
    <w:rsid w:val="006E5986"/>
    <w:rsid w:val="00725620"/>
    <w:rsid w:val="00733DD8"/>
    <w:rsid w:val="007349D2"/>
    <w:rsid w:val="007362C1"/>
    <w:rsid w:val="007401BE"/>
    <w:rsid w:val="007458B8"/>
    <w:rsid w:val="0075163D"/>
    <w:rsid w:val="0077369C"/>
    <w:rsid w:val="007927EF"/>
    <w:rsid w:val="007937FA"/>
    <w:rsid w:val="0079578E"/>
    <w:rsid w:val="007957F0"/>
    <w:rsid w:val="0079680D"/>
    <w:rsid w:val="007A5C01"/>
    <w:rsid w:val="007C2254"/>
    <w:rsid w:val="007D73B3"/>
    <w:rsid w:val="007F03CB"/>
    <w:rsid w:val="007F4585"/>
    <w:rsid w:val="007F5CBC"/>
    <w:rsid w:val="00815369"/>
    <w:rsid w:val="00837E3A"/>
    <w:rsid w:val="0085566E"/>
    <w:rsid w:val="00856553"/>
    <w:rsid w:val="00866E2D"/>
    <w:rsid w:val="008875A8"/>
    <w:rsid w:val="008963DD"/>
    <w:rsid w:val="008A3FC5"/>
    <w:rsid w:val="008B757F"/>
    <w:rsid w:val="008F279F"/>
    <w:rsid w:val="0090608C"/>
    <w:rsid w:val="009103D0"/>
    <w:rsid w:val="00911BE1"/>
    <w:rsid w:val="00914014"/>
    <w:rsid w:val="0092202A"/>
    <w:rsid w:val="009252E4"/>
    <w:rsid w:val="009328A9"/>
    <w:rsid w:val="00933AA9"/>
    <w:rsid w:val="00956B1C"/>
    <w:rsid w:val="0096141E"/>
    <w:rsid w:val="00970B6B"/>
    <w:rsid w:val="00974A87"/>
    <w:rsid w:val="00976AB0"/>
    <w:rsid w:val="009830B9"/>
    <w:rsid w:val="00997547"/>
    <w:rsid w:val="009A1416"/>
    <w:rsid w:val="009A2F7C"/>
    <w:rsid w:val="009A60BB"/>
    <w:rsid w:val="009B076F"/>
    <w:rsid w:val="009B6557"/>
    <w:rsid w:val="009C026C"/>
    <w:rsid w:val="009D1EA0"/>
    <w:rsid w:val="009D5949"/>
    <w:rsid w:val="009E46AA"/>
    <w:rsid w:val="009F41EF"/>
    <w:rsid w:val="009F6818"/>
    <w:rsid w:val="009F72E6"/>
    <w:rsid w:val="00A209CB"/>
    <w:rsid w:val="00A3136C"/>
    <w:rsid w:val="00A31B3B"/>
    <w:rsid w:val="00A456B9"/>
    <w:rsid w:val="00A538F8"/>
    <w:rsid w:val="00A60A69"/>
    <w:rsid w:val="00A76342"/>
    <w:rsid w:val="00A7745C"/>
    <w:rsid w:val="00A82BB1"/>
    <w:rsid w:val="00A925B4"/>
    <w:rsid w:val="00AA0F83"/>
    <w:rsid w:val="00AA109A"/>
    <w:rsid w:val="00B05894"/>
    <w:rsid w:val="00B11C1D"/>
    <w:rsid w:val="00B4209F"/>
    <w:rsid w:val="00B64C81"/>
    <w:rsid w:val="00B652BC"/>
    <w:rsid w:val="00B6772D"/>
    <w:rsid w:val="00B70DA0"/>
    <w:rsid w:val="00B81305"/>
    <w:rsid w:val="00BB1DF4"/>
    <w:rsid w:val="00BB3885"/>
    <w:rsid w:val="00BB4160"/>
    <w:rsid w:val="00BC2D24"/>
    <w:rsid w:val="00BD4708"/>
    <w:rsid w:val="00BD687E"/>
    <w:rsid w:val="00BD7A7F"/>
    <w:rsid w:val="00BF64B9"/>
    <w:rsid w:val="00BF750D"/>
    <w:rsid w:val="00C20707"/>
    <w:rsid w:val="00C25B93"/>
    <w:rsid w:val="00C30E3F"/>
    <w:rsid w:val="00C32F74"/>
    <w:rsid w:val="00C371C8"/>
    <w:rsid w:val="00C464F7"/>
    <w:rsid w:val="00C6678F"/>
    <w:rsid w:val="00C75195"/>
    <w:rsid w:val="00C767D6"/>
    <w:rsid w:val="00C87606"/>
    <w:rsid w:val="00CE00C8"/>
    <w:rsid w:val="00CE03EC"/>
    <w:rsid w:val="00CF21A3"/>
    <w:rsid w:val="00D0339A"/>
    <w:rsid w:val="00D14F66"/>
    <w:rsid w:val="00D25CA7"/>
    <w:rsid w:val="00D25F77"/>
    <w:rsid w:val="00D27701"/>
    <w:rsid w:val="00D30D8F"/>
    <w:rsid w:val="00D32A57"/>
    <w:rsid w:val="00D448A3"/>
    <w:rsid w:val="00D717A7"/>
    <w:rsid w:val="00D75E70"/>
    <w:rsid w:val="00D85C21"/>
    <w:rsid w:val="00D87E5A"/>
    <w:rsid w:val="00DA3CBA"/>
    <w:rsid w:val="00DA42F7"/>
    <w:rsid w:val="00DB29E6"/>
    <w:rsid w:val="00DB34A6"/>
    <w:rsid w:val="00DB66FC"/>
    <w:rsid w:val="00DB6888"/>
    <w:rsid w:val="00DC0355"/>
    <w:rsid w:val="00DE4DDF"/>
    <w:rsid w:val="00DF7BC1"/>
    <w:rsid w:val="00E00CFF"/>
    <w:rsid w:val="00E14A7D"/>
    <w:rsid w:val="00E17166"/>
    <w:rsid w:val="00E22EF7"/>
    <w:rsid w:val="00E23B50"/>
    <w:rsid w:val="00E24657"/>
    <w:rsid w:val="00E355AA"/>
    <w:rsid w:val="00E36C1C"/>
    <w:rsid w:val="00E55F68"/>
    <w:rsid w:val="00E67B12"/>
    <w:rsid w:val="00E708B4"/>
    <w:rsid w:val="00E7093E"/>
    <w:rsid w:val="00E83168"/>
    <w:rsid w:val="00E91B8D"/>
    <w:rsid w:val="00E9265D"/>
    <w:rsid w:val="00EA0E24"/>
    <w:rsid w:val="00EB3510"/>
    <w:rsid w:val="00ED0428"/>
    <w:rsid w:val="00EE71C5"/>
    <w:rsid w:val="00EF566E"/>
    <w:rsid w:val="00F255B9"/>
    <w:rsid w:val="00F32BD4"/>
    <w:rsid w:val="00F32CF5"/>
    <w:rsid w:val="00F718C4"/>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5D4518"/>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6594</Words>
  <Characters>3760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2</cp:revision>
  <cp:lastPrinted>2021-06-09T08:09:00Z</cp:lastPrinted>
  <dcterms:created xsi:type="dcterms:W3CDTF">2021-06-22T11:02:00Z</dcterms:created>
  <dcterms:modified xsi:type="dcterms:W3CDTF">2021-06-22T11:02:00Z</dcterms:modified>
</cp:coreProperties>
</file>