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A9B78" w14:textId="77777777" w:rsidR="00A2524C" w:rsidRDefault="00267FCC" w:rsidP="001B69B2">
      <w:pPr>
        <w:tabs>
          <w:tab w:val="left" w:pos="7655"/>
        </w:tabs>
        <w:jc w:val="center"/>
      </w:pPr>
      <w:r w:rsidRPr="00771D87">
        <w:rPr>
          <w:noProof/>
          <w:lang w:eastAsia="lt-LT"/>
        </w:rPr>
        <w:drawing>
          <wp:inline distT="0" distB="0" distL="0" distR="0" wp14:anchorId="6EB5939B" wp14:editId="46EC8437">
            <wp:extent cx="501098" cy="628650"/>
            <wp:effectExtent l="0" t="0" r="0" b="0"/>
            <wp:docPr id="1"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344" cy="628959"/>
                    </a:xfrm>
                    <a:prstGeom prst="rect">
                      <a:avLst/>
                    </a:prstGeom>
                    <a:noFill/>
                    <a:ln>
                      <a:noFill/>
                    </a:ln>
                  </pic:spPr>
                </pic:pic>
              </a:graphicData>
            </a:graphic>
          </wp:inline>
        </w:drawing>
      </w:r>
    </w:p>
    <w:p w14:paraId="0AEB3692" w14:textId="77777777" w:rsidR="00D52A4B" w:rsidRPr="00D20054" w:rsidRDefault="00D52A4B">
      <w:pPr>
        <w:jc w:val="center"/>
        <w:rPr>
          <w:sz w:val="16"/>
          <w:szCs w:val="16"/>
        </w:rPr>
      </w:pPr>
    </w:p>
    <w:p w14:paraId="7C9928B2" w14:textId="77777777" w:rsidR="003157C6" w:rsidRPr="00091B09" w:rsidRDefault="003157C6" w:rsidP="003157C6">
      <w:pPr>
        <w:pStyle w:val="Antrat1"/>
      </w:pPr>
      <w:r w:rsidRPr="00091B09">
        <w:t>UKMERGĖS RAJONO SAVIVALDYBĖS KONTROLĖS IR AUDITO TARNYBA</w:t>
      </w:r>
    </w:p>
    <w:p w14:paraId="1ABB3492" w14:textId="50CDBDB3" w:rsidR="003157C6" w:rsidRDefault="003157C6">
      <w:pPr>
        <w:jc w:val="center"/>
      </w:pPr>
    </w:p>
    <w:p w14:paraId="7FF350FE" w14:textId="77777777" w:rsidR="00FB034C" w:rsidRDefault="00FB034C">
      <w:pPr>
        <w:jc w:val="center"/>
      </w:pPr>
    </w:p>
    <w:p w14:paraId="1ADC7AEA" w14:textId="77777777" w:rsidR="003157C6" w:rsidRPr="00091B09" w:rsidRDefault="003157C6" w:rsidP="003157C6">
      <w:r w:rsidRPr="00091B09">
        <w:t>Ukmergės rajono savivaldybės tarybai</w:t>
      </w:r>
    </w:p>
    <w:p w14:paraId="17642D7D" w14:textId="77777777" w:rsidR="003157C6" w:rsidRPr="00B13665" w:rsidRDefault="003157C6">
      <w:pPr>
        <w:jc w:val="center"/>
      </w:pPr>
    </w:p>
    <w:p w14:paraId="1CE24D80" w14:textId="77777777" w:rsidR="007820EB" w:rsidRPr="00B13665" w:rsidRDefault="007820EB">
      <w:pPr>
        <w:jc w:val="center"/>
      </w:pPr>
    </w:p>
    <w:p w14:paraId="08F8BCAC" w14:textId="77777777" w:rsidR="003157C6" w:rsidRPr="00091B09" w:rsidRDefault="003157C6" w:rsidP="003157C6">
      <w:pPr>
        <w:jc w:val="center"/>
        <w:rPr>
          <w:b/>
        </w:rPr>
      </w:pPr>
      <w:r w:rsidRPr="00091B09">
        <w:rPr>
          <w:b/>
        </w:rPr>
        <w:t>IŠVADA</w:t>
      </w:r>
    </w:p>
    <w:p w14:paraId="496ABA45" w14:textId="1C079F55" w:rsidR="00B34CBE" w:rsidRDefault="003157C6" w:rsidP="003157C6">
      <w:pPr>
        <w:jc w:val="center"/>
        <w:rPr>
          <w:b/>
        </w:rPr>
      </w:pPr>
      <w:r w:rsidRPr="00091B09">
        <w:rPr>
          <w:b/>
        </w:rPr>
        <w:t xml:space="preserve">DĖL UKMERGĖS RAJONO </w:t>
      </w:r>
      <w:r>
        <w:rPr>
          <w:b/>
        </w:rPr>
        <w:t xml:space="preserve">SAVIVALDYBĖS </w:t>
      </w:r>
      <w:r w:rsidR="003E76C3">
        <w:rPr>
          <w:b/>
        </w:rPr>
        <w:t xml:space="preserve">1809,2 TŪKST. </w:t>
      </w:r>
      <w:r>
        <w:rPr>
          <w:b/>
        </w:rPr>
        <w:t>EURŲ PASKOLOS</w:t>
      </w:r>
      <w:r w:rsidR="00B34CBE">
        <w:rPr>
          <w:b/>
        </w:rPr>
        <w:t xml:space="preserve"> </w:t>
      </w:r>
    </w:p>
    <w:p w14:paraId="1E78D437" w14:textId="77777777" w:rsidR="003157C6" w:rsidRDefault="003157C6" w:rsidP="003157C6">
      <w:pPr>
        <w:jc w:val="center"/>
      </w:pPr>
      <w:r>
        <w:rPr>
          <w:b/>
        </w:rPr>
        <w:t xml:space="preserve">ĖMIMO GALIMYBIŲ  </w:t>
      </w:r>
    </w:p>
    <w:p w14:paraId="1992B2BE" w14:textId="77777777" w:rsidR="00702245" w:rsidRPr="00B13665" w:rsidRDefault="00702245">
      <w:pPr>
        <w:jc w:val="center"/>
      </w:pPr>
    </w:p>
    <w:p w14:paraId="5F2C69C6" w14:textId="36305E80" w:rsidR="003157C6" w:rsidRPr="00091B09" w:rsidRDefault="003157C6" w:rsidP="003157C6">
      <w:pPr>
        <w:jc w:val="center"/>
      </w:pPr>
      <w:r>
        <w:t>20</w:t>
      </w:r>
      <w:r w:rsidR="00EC619B">
        <w:t>2</w:t>
      </w:r>
      <w:r w:rsidR="003E76C3">
        <w:t>1</w:t>
      </w:r>
      <w:r w:rsidRPr="00091B09">
        <w:t xml:space="preserve"> m. </w:t>
      </w:r>
      <w:r w:rsidR="003E76C3">
        <w:t>kovo</w:t>
      </w:r>
      <w:r w:rsidR="00352331">
        <w:t xml:space="preserve"> </w:t>
      </w:r>
      <w:r w:rsidR="003E76C3">
        <w:t>1</w:t>
      </w:r>
      <w:r w:rsidR="00735119">
        <w:t>6</w:t>
      </w:r>
      <w:r w:rsidRPr="00091B09">
        <w:t xml:space="preserve"> d. Nr. </w:t>
      </w:r>
      <w:r w:rsidR="00735119">
        <w:t>B</w:t>
      </w:r>
      <w:r w:rsidRPr="00091B09">
        <w:t>-01</w:t>
      </w:r>
      <w:r w:rsidR="00735119">
        <w:t>(P/1)</w:t>
      </w:r>
    </w:p>
    <w:p w14:paraId="45E2A8F8" w14:textId="77777777" w:rsidR="003157C6" w:rsidRPr="00091B09" w:rsidRDefault="003157C6" w:rsidP="003157C6">
      <w:pPr>
        <w:jc w:val="center"/>
      </w:pPr>
      <w:r w:rsidRPr="00091B09">
        <w:t>Ukmergė</w:t>
      </w:r>
    </w:p>
    <w:p w14:paraId="23791C58" w14:textId="2277FE12" w:rsidR="004F6EFE" w:rsidRPr="003D4A01" w:rsidRDefault="004F6EFE" w:rsidP="003D4A01">
      <w:pPr>
        <w:spacing w:line="276" w:lineRule="auto"/>
        <w:ind w:firstLine="851"/>
        <w:jc w:val="both"/>
        <w:rPr>
          <w:rFonts w:asciiTheme="majorBidi" w:hAnsiTheme="majorBidi" w:cstheme="majorBidi"/>
          <w:b/>
        </w:rPr>
      </w:pPr>
    </w:p>
    <w:p w14:paraId="7EF7B0B9" w14:textId="749235EF" w:rsidR="00D63811" w:rsidRPr="00D63811" w:rsidRDefault="0062156B" w:rsidP="00F626F2">
      <w:pPr>
        <w:spacing w:line="276" w:lineRule="auto"/>
        <w:ind w:firstLine="851"/>
        <w:jc w:val="both"/>
        <w:rPr>
          <w:rFonts w:asciiTheme="majorBidi" w:hAnsiTheme="majorBidi" w:cstheme="majorBidi"/>
        </w:rPr>
      </w:pPr>
      <w:r w:rsidRPr="003D4A01">
        <w:rPr>
          <w:rFonts w:asciiTheme="majorBidi" w:hAnsiTheme="majorBidi" w:cstheme="majorBidi"/>
        </w:rPr>
        <w:t xml:space="preserve"> </w:t>
      </w:r>
      <w:r w:rsidR="00AB57E1" w:rsidRPr="000D1E7A">
        <w:rPr>
          <w:rFonts w:asciiTheme="majorBidi" w:hAnsiTheme="majorBidi" w:cstheme="majorBidi"/>
        </w:rPr>
        <w:t>V</w:t>
      </w:r>
      <w:r w:rsidR="009C5DBF" w:rsidRPr="000D1E7A">
        <w:rPr>
          <w:rFonts w:asciiTheme="majorBidi" w:hAnsiTheme="majorBidi" w:cstheme="majorBidi"/>
        </w:rPr>
        <w:t>adovau</w:t>
      </w:r>
      <w:r w:rsidR="00AB57E1" w:rsidRPr="000D1E7A">
        <w:rPr>
          <w:rFonts w:asciiTheme="majorBidi" w:hAnsiTheme="majorBidi" w:cstheme="majorBidi"/>
        </w:rPr>
        <w:t>jantis</w:t>
      </w:r>
      <w:r w:rsidR="009C5DBF" w:rsidRPr="000D1E7A">
        <w:rPr>
          <w:rFonts w:asciiTheme="majorBidi" w:hAnsiTheme="majorBidi" w:cstheme="majorBidi"/>
        </w:rPr>
        <w:t xml:space="preserve"> Lietuvos Respublikos Vietos savivaldos įstatymo</w:t>
      </w:r>
      <w:r w:rsidR="00AB57E1" w:rsidRPr="000D1E7A">
        <w:rPr>
          <w:rStyle w:val="Puslapioinaosnuoroda"/>
          <w:rFonts w:asciiTheme="majorBidi" w:hAnsiTheme="majorBidi" w:cstheme="majorBidi"/>
        </w:rPr>
        <w:footnoteReference w:id="1"/>
      </w:r>
      <w:r w:rsidR="009C5DBF" w:rsidRPr="000D1E7A">
        <w:rPr>
          <w:rFonts w:asciiTheme="majorBidi" w:hAnsiTheme="majorBidi" w:cstheme="majorBidi"/>
        </w:rPr>
        <w:t xml:space="preserve"> 27 straipsnio 1 dalies 3 punktu</w:t>
      </w:r>
      <w:r w:rsidR="005820E7" w:rsidRPr="000D1E7A">
        <w:rPr>
          <w:rFonts w:asciiTheme="majorBidi" w:hAnsiTheme="majorBidi" w:cstheme="majorBidi"/>
        </w:rPr>
        <w:t>,</w:t>
      </w:r>
      <w:r w:rsidR="00AB57E1" w:rsidRPr="000D1E7A">
        <w:rPr>
          <w:rFonts w:asciiTheme="majorBidi" w:hAnsiTheme="majorBidi" w:cstheme="majorBidi"/>
        </w:rPr>
        <w:t xml:space="preserve"> ir </w:t>
      </w:r>
      <w:r w:rsidR="00AB57E1" w:rsidRPr="000D1E7A">
        <w:t>Ukmergės rajono savivaldybės kontrolės ir audito tarnybos nuostatų</w:t>
      </w:r>
      <w:r w:rsidR="00AB57E1" w:rsidRPr="000D1E7A">
        <w:rPr>
          <w:rStyle w:val="Puslapioinaosnuoroda"/>
        </w:rPr>
        <w:footnoteReference w:id="2"/>
      </w:r>
      <w:r w:rsidR="00AB57E1" w:rsidRPr="000D1E7A">
        <w:t xml:space="preserve"> 13.3 punktu, </w:t>
      </w:r>
      <w:r w:rsidR="00D63811">
        <w:t xml:space="preserve">ir </w:t>
      </w:r>
      <w:r w:rsidR="00D63811" w:rsidRPr="00D63811">
        <w:rPr>
          <w:rFonts w:asciiTheme="majorBidi" w:hAnsiTheme="majorBidi" w:cstheme="majorBidi"/>
        </w:rPr>
        <w:t xml:space="preserve">Ukmergės rajono savivaldybės mero 2021 m. kovo 1 d. raštu Nr. (6.23)18-771 „Dėl išvados pateikimo“ </w:t>
      </w:r>
      <w:r w:rsidR="00D63811" w:rsidRPr="00D63811">
        <w:t>įvertinta Ukmergės rajono savivaldybės galimybė imti 1809,2 tūkst. eurų ilgalaikę paskolą prisiimtiems</w:t>
      </w:r>
      <w:r w:rsidR="00D63811" w:rsidRPr="00A47E7C">
        <w:rPr>
          <w:color w:val="0070C0"/>
        </w:rPr>
        <w:t xml:space="preserve"> </w:t>
      </w:r>
      <w:r w:rsidR="00D63811" w:rsidRPr="00C416F4">
        <w:t>įsipareigojimams vykdyti</w:t>
      </w:r>
      <w:r w:rsidR="00D63811" w:rsidRPr="00D63811">
        <w:t>.</w:t>
      </w:r>
    </w:p>
    <w:p w14:paraId="52EC73B4" w14:textId="483F5987" w:rsidR="009C5DBF" w:rsidRPr="00FB034C" w:rsidRDefault="009C5DBF" w:rsidP="00FB034C">
      <w:pPr>
        <w:spacing w:line="276" w:lineRule="auto"/>
        <w:ind w:firstLine="851"/>
        <w:jc w:val="both"/>
        <w:rPr>
          <w:rFonts w:asciiTheme="majorBidi" w:hAnsiTheme="majorBidi" w:cstheme="majorBidi"/>
        </w:rPr>
      </w:pPr>
      <w:r w:rsidRPr="003D4A01">
        <w:rPr>
          <w:rFonts w:asciiTheme="majorBidi" w:hAnsiTheme="majorBidi" w:cstheme="majorBidi"/>
          <w:bCs/>
          <w:i/>
        </w:rPr>
        <w:t>Vertinimo tikslas</w:t>
      </w:r>
      <w:r w:rsidRPr="003D4A01">
        <w:rPr>
          <w:rFonts w:asciiTheme="majorBidi" w:hAnsiTheme="majorBidi" w:cstheme="majorBidi"/>
        </w:rPr>
        <w:t xml:space="preserve"> - </w:t>
      </w:r>
      <w:r w:rsidR="00D63811">
        <w:rPr>
          <w:rFonts w:asciiTheme="majorBidi" w:hAnsiTheme="majorBidi" w:cstheme="majorBidi"/>
        </w:rPr>
        <w:t>įvertinti</w:t>
      </w:r>
      <w:r w:rsidRPr="003D4A01">
        <w:rPr>
          <w:rFonts w:asciiTheme="majorBidi" w:hAnsiTheme="majorBidi" w:cstheme="majorBidi"/>
        </w:rPr>
        <w:t xml:space="preserve"> ar Ukmergės rajono savivaldybė turi ga</w:t>
      </w:r>
      <w:r w:rsidR="00FC4D7A" w:rsidRPr="003D4A01">
        <w:rPr>
          <w:rFonts w:asciiTheme="majorBidi" w:hAnsiTheme="majorBidi" w:cstheme="majorBidi"/>
        </w:rPr>
        <w:t xml:space="preserve">limybę nustatytų limitų </w:t>
      </w:r>
      <w:r w:rsidR="00FC4D7A" w:rsidRPr="00FB034C">
        <w:rPr>
          <w:rFonts w:asciiTheme="majorBidi" w:hAnsiTheme="majorBidi" w:cstheme="majorBidi"/>
        </w:rPr>
        <w:t xml:space="preserve">ribose </w:t>
      </w:r>
      <w:r w:rsidRPr="00FB034C">
        <w:rPr>
          <w:rFonts w:asciiTheme="majorBidi" w:hAnsiTheme="majorBidi" w:cstheme="majorBidi"/>
        </w:rPr>
        <w:t>20</w:t>
      </w:r>
      <w:r w:rsidR="0018359C" w:rsidRPr="00FB034C">
        <w:rPr>
          <w:rFonts w:asciiTheme="majorBidi" w:hAnsiTheme="majorBidi" w:cstheme="majorBidi"/>
        </w:rPr>
        <w:t>2</w:t>
      </w:r>
      <w:r w:rsidR="003E76C3" w:rsidRPr="00FB034C">
        <w:rPr>
          <w:rFonts w:asciiTheme="majorBidi" w:hAnsiTheme="majorBidi" w:cstheme="majorBidi"/>
        </w:rPr>
        <w:t>1</w:t>
      </w:r>
      <w:r w:rsidRPr="00FB034C">
        <w:rPr>
          <w:rFonts w:asciiTheme="majorBidi" w:hAnsiTheme="majorBidi" w:cstheme="majorBidi"/>
        </w:rPr>
        <w:t xml:space="preserve"> metais imti ilgalaikę </w:t>
      </w:r>
      <w:r w:rsidR="003E76C3" w:rsidRPr="00FB034C">
        <w:rPr>
          <w:rFonts w:asciiTheme="majorBidi" w:hAnsiTheme="majorBidi" w:cstheme="majorBidi"/>
        </w:rPr>
        <w:t xml:space="preserve">1809,2 tūkst. eurų </w:t>
      </w:r>
      <w:r w:rsidRPr="00FB034C">
        <w:rPr>
          <w:rFonts w:asciiTheme="majorBidi" w:hAnsiTheme="majorBidi" w:cstheme="majorBidi"/>
        </w:rPr>
        <w:t xml:space="preserve">paskolą </w:t>
      </w:r>
      <w:r w:rsidR="00D63811" w:rsidRPr="00FB034C">
        <w:rPr>
          <w:rFonts w:asciiTheme="majorBidi" w:hAnsiTheme="majorBidi" w:cstheme="majorBidi"/>
        </w:rPr>
        <w:t>įsipareigojimams</w:t>
      </w:r>
      <w:r w:rsidRPr="00FB034C">
        <w:rPr>
          <w:rFonts w:asciiTheme="majorBidi" w:hAnsiTheme="majorBidi" w:cstheme="majorBidi"/>
        </w:rPr>
        <w:t xml:space="preserve"> </w:t>
      </w:r>
      <w:r w:rsidR="00D63811" w:rsidRPr="00FB034C">
        <w:rPr>
          <w:rFonts w:asciiTheme="majorBidi" w:hAnsiTheme="majorBidi" w:cstheme="majorBidi"/>
        </w:rPr>
        <w:t xml:space="preserve">įvykdyti iš kredito įstaigos, pasiūliusios mažiausią kainą, bei pateikti išvadą Savivaldybės tarybai. </w:t>
      </w:r>
    </w:p>
    <w:p w14:paraId="1A9C2592" w14:textId="1883DC06" w:rsidR="007820EB" w:rsidRDefault="009C5DBF" w:rsidP="00FB034C">
      <w:pPr>
        <w:pStyle w:val="Default"/>
        <w:spacing w:line="276" w:lineRule="auto"/>
        <w:ind w:firstLine="851"/>
        <w:jc w:val="both"/>
        <w:rPr>
          <w:rFonts w:asciiTheme="majorBidi" w:hAnsiTheme="majorBidi" w:cstheme="majorBidi"/>
        </w:rPr>
      </w:pPr>
      <w:r w:rsidRPr="00FB034C">
        <w:rPr>
          <w:rFonts w:asciiTheme="majorBidi" w:hAnsiTheme="majorBidi" w:cstheme="majorBidi"/>
          <w:bCs/>
          <w:i/>
        </w:rPr>
        <w:t>Tikrinamas subjektas</w:t>
      </w:r>
      <w:r w:rsidRPr="00FB034C">
        <w:rPr>
          <w:rFonts w:asciiTheme="majorBidi" w:hAnsiTheme="majorBidi" w:cstheme="majorBidi"/>
          <w:bCs/>
        </w:rPr>
        <w:t>:</w:t>
      </w:r>
      <w:r w:rsidRPr="00FB034C">
        <w:rPr>
          <w:rFonts w:asciiTheme="majorBidi" w:hAnsiTheme="majorBidi" w:cstheme="majorBidi"/>
        </w:rPr>
        <w:t xml:space="preserve"> Ukmergės rajono savivaldybės administracija, identifikavimo kodas – 188752174. Adresas: Kęs</w:t>
      </w:r>
      <w:r w:rsidR="00FC4D7A" w:rsidRPr="00FB034C">
        <w:rPr>
          <w:rFonts w:asciiTheme="majorBidi" w:hAnsiTheme="majorBidi" w:cstheme="majorBidi"/>
        </w:rPr>
        <w:t>tučio a. 3,</w:t>
      </w:r>
      <w:r w:rsidRPr="00FB034C">
        <w:rPr>
          <w:rFonts w:asciiTheme="majorBidi" w:hAnsiTheme="majorBidi" w:cstheme="majorBidi"/>
        </w:rPr>
        <w:t xml:space="preserve"> </w:t>
      </w:r>
      <w:r w:rsidR="00FC4D7A" w:rsidRPr="00FB034C">
        <w:rPr>
          <w:rFonts w:asciiTheme="majorBidi" w:hAnsiTheme="majorBidi" w:cstheme="majorBidi"/>
        </w:rPr>
        <w:t>Ukmergė.</w:t>
      </w:r>
    </w:p>
    <w:p w14:paraId="32EDF69D" w14:textId="77777777" w:rsidR="00FB034C" w:rsidRPr="003D4A01" w:rsidRDefault="00FB034C" w:rsidP="00FB034C">
      <w:pPr>
        <w:pStyle w:val="Default"/>
        <w:spacing w:line="276" w:lineRule="auto"/>
        <w:ind w:firstLine="851"/>
        <w:jc w:val="both"/>
        <w:rPr>
          <w:rFonts w:asciiTheme="majorBidi" w:hAnsiTheme="majorBidi" w:cstheme="majorBidi"/>
        </w:rPr>
      </w:pPr>
      <w:r w:rsidRPr="003D4A01">
        <w:rPr>
          <w:rFonts w:asciiTheme="majorBidi" w:hAnsiTheme="majorBidi" w:cstheme="majorBidi"/>
        </w:rPr>
        <w:t xml:space="preserve">Savivaldybės administracija yra atsakinga už vertinimui pateiktų duomenų tikrumą ir teisingumą. Atliekant vertinimą, buvo vadovaujamasi nuostata, kad pateikti duomenys yra teisingi, objektyvūs ir išsamūs, o pateiktų dokumentų kopijos atitinka originalus. </w:t>
      </w:r>
    </w:p>
    <w:p w14:paraId="62CE569F" w14:textId="179B4167" w:rsidR="003C42AA" w:rsidRPr="00FB034C" w:rsidRDefault="003C42AA" w:rsidP="00FB034C">
      <w:pPr>
        <w:pStyle w:val="Default"/>
        <w:spacing w:line="276" w:lineRule="auto"/>
        <w:ind w:firstLine="851"/>
        <w:jc w:val="both"/>
        <w:rPr>
          <w:color w:val="auto"/>
          <w:lang w:eastAsia="en-US"/>
        </w:rPr>
      </w:pPr>
      <w:r w:rsidRPr="00FB034C">
        <w:rPr>
          <w:i/>
          <w:iCs/>
        </w:rPr>
        <w:t>Dėl skolinimosi reglamentavimo</w:t>
      </w:r>
      <w:r w:rsidRPr="00FB034C">
        <w:rPr>
          <w:color w:val="auto"/>
          <w:lang w:eastAsia="en-US"/>
        </w:rPr>
        <w:t xml:space="preserve"> </w:t>
      </w:r>
    </w:p>
    <w:p w14:paraId="661DFD1F" w14:textId="77777777" w:rsidR="00A47E7C" w:rsidRPr="00FB034C" w:rsidRDefault="003C42AA" w:rsidP="00FB034C">
      <w:pPr>
        <w:shd w:val="clear" w:color="auto" w:fill="FFFFFF" w:themeFill="background1"/>
        <w:spacing w:line="276" w:lineRule="auto"/>
        <w:ind w:firstLine="851"/>
        <w:jc w:val="both"/>
      </w:pPr>
      <w:r w:rsidRPr="00FB034C">
        <w:t>Lietuvos Respublikos biudžeto sandaros įstatyme</w:t>
      </w:r>
      <w:r w:rsidRPr="00FB034C">
        <w:rPr>
          <w:rStyle w:val="Puslapioinaosnuoroda"/>
        </w:rPr>
        <w:footnoteReference w:id="3"/>
      </w:r>
      <w:r w:rsidRPr="00FB034C">
        <w:t xml:space="preserve"> numatyta, kad savivaldybės, laikydamosi Seimo patvirtintų skolos, skolinimosi ir garantijų limitų, Vyriausybės nustatyta tvarka gali imti iš vidaus kreditorių arba užsienio kreditorių ilgalaikes (kurių trukmė ilgesnė kaip vieneri metai ir grąžinimo terminas ne tais pačiais biudžetiniais metais) paskolas investicijų projektams finansuoti ir ankstesniems skoliniams įsipareigojimams vykdyti. </w:t>
      </w:r>
    </w:p>
    <w:p w14:paraId="0B83FAAA" w14:textId="2110DA02" w:rsidR="0028170B" w:rsidRDefault="003C42AA" w:rsidP="00F626F2">
      <w:pPr>
        <w:shd w:val="clear" w:color="auto" w:fill="FFFFFF" w:themeFill="background1"/>
        <w:spacing w:line="276" w:lineRule="auto"/>
        <w:ind w:firstLine="851"/>
        <w:jc w:val="both"/>
        <w:rPr>
          <w:rFonts w:asciiTheme="majorBidi" w:hAnsiTheme="majorBidi" w:cstheme="majorBidi"/>
        </w:rPr>
      </w:pPr>
      <w:r w:rsidRPr="00FB034C">
        <w:t>Savivaldybių skolos bei skolinimosi limitų taikymo tvarką reglamentuoja Vyriausybės patvirtintos Savivaldybių skolinimosi taisyklės</w:t>
      </w:r>
      <w:r w:rsidR="00A47E7C" w:rsidRPr="00FB034C">
        <w:rPr>
          <w:rStyle w:val="Puslapioinaosnuoroda"/>
        </w:rPr>
        <w:footnoteReference w:id="4"/>
      </w:r>
      <w:r w:rsidR="002305C5" w:rsidRPr="00FB034C">
        <w:t xml:space="preserve">, kuriose </w:t>
      </w:r>
      <w:r w:rsidR="002305C5" w:rsidRPr="00FB034C">
        <w:rPr>
          <w:rFonts w:asciiTheme="majorBidi" w:hAnsiTheme="majorBidi" w:cstheme="majorBidi"/>
        </w:rPr>
        <w:t>nustatyta</w:t>
      </w:r>
      <w:r w:rsidR="002305C5" w:rsidRPr="00FB034C">
        <w:rPr>
          <w:rStyle w:val="Puslapioinaosnuoroda"/>
          <w:rFonts w:asciiTheme="majorBidi" w:hAnsiTheme="majorBidi" w:cstheme="majorBidi"/>
        </w:rPr>
        <w:footnoteReference w:id="5"/>
      </w:r>
      <w:r w:rsidR="002305C5" w:rsidRPr="00FB034C">
        <w:rPr>
          <w:rFonts w:asciiTheme="majorBidi" w:hAnsiTheme="majorBidi" w:cstheme="majorBidi"/>
        </w:rPr>
        <w:t>, kad savivaldybė skolindamasi turi įvertinti, ar priimdama skolinius įsipareigojimus neviršys Lietuvos Respublikos atitinkamų metų</w:t>
      </w:r>
    </w:p>
    <w:p w14:paraId="0D3D8ED7" w14:textId="77777777" w:rsidR="00F626F2" w:rsidRDefault="002305C5" w:rsidP="00F626F2">
      <w:pPr>
        <w:shd w:val="clear" w:color="auto" w:fill="FFFFFF" w:themeFill="background1"/>
        <w:spacing w:line="276" w:lineRule="auto"/>
        <w:jc w:val="both"/>
        <w:rPr>
          <w:rFonts w:asciiTheme="majorBidi" w:hAnsiTheme="majorBidi" w:cstheme="majorBidi"/>
        </w:rPr>
      </w:pPr>
      <w:r w:rsidRPr="00FB034C">
        <w:rPr>
          <w:rFonts w:asciiTheme="majorBidi" w:hAnsiTheme="majorBidi" w:cstheme="majorBidi"/>
        </w:rPr>
        <w:t>valstybės biudžeto ir savivaldybių biudžetų finansinių rodiklių patvirtinimo įstatyme nustatyto savivaldybės skolos limito ir savivaldybės metinio grynojo skolinimosi limito.</w:t>
      </w:r>
    </w:p>
    <w:p w14:paraId="3CF37270" w14:textId="6CF1A46B" w:rsidR="00907DB7" w:rsidRDefault="00C416F4" w:rsidP="00F626F2">
      <w:pPr>
        <w:shd w:val="clear" w:color="auto" w:fill="FFFFFF" w:themeFill="background1"/>
        <w:spacing w:line="276" w:lineRule="auto"/>
        <w:jc w:val="both"/>
        <w:rPr>
          <w:sz w:val="23"/>
          <w:szCs w:val="23"/>
        </w:rPr>
      </w:pPr>
      <w:r w:rsidRPr="00FB034C">
        <w:lastRenderedPageBreak/>
        <w:t>Lietuvos Respublikos Seimas yra patvirtinęs savivaldybių skolinimosi limitų dydžius 2021 metams. Skolinimosi rodiklių skaičiavimo pagrindu yra laikomos Lietuvos Respublikos 2021 metų</w:t>
      </w:r>
      <w:r w:rsidR="0028170B">
        <w:t xml:space="preserve"> </w:t>
      </w:r>
      <w:r>
        <w:rPr>
          <w:sz w:val="23"/>
          <w:szCs w:val="23"/>
        </w:rPr>
        <w:t>valstybės biudžeto ir savivaldybių biudžetų finansinių rodiklių patvirtinimo įstatymo 6 priede prognozuojamos savivaldybės biudžeto pajamos</w:t>
      </w:r>
      <w:r>
        <w:rPr>
          <w:rStyle w:val="Puslapioinaosnuoroda"/>
          <w:sz w:val="23"/>
          <w:szCs w:val="23"/>
        </w:rPr>
        <w:footnoteReference w:id="6"/>
      </w:r>
      <w:r w:rsidR="00907DB7">
        <w:rPr>
          <w:sz w:val="23"/>
          <w:szCs w:val="23"/>
        </w:rPr>
        <w:t>:</w:t>
      </w:r>
    </w:p>
    <w:p w14:paraId="2907E4DD" w14:textId="4652C282" w:rsidR="00D63811" w:rsidRPr="003C42AA" w:rsidRDefault="00503155" w:rsidP="00907DB7">
      <w:pPr>
        <w:pStyle w:val="Default"/>
        <w:spacing w:line="276" w:lineRule="auto"/>
        <w:ind w:firstLine="851"/>
        <w:jc w:val="both"/>
        <w:rPr>
          <w:rFonts w:asciiTheme="majorBidi" w:hAnsiTheme="majorBidi" w:cstheme="majorBidi"/>
        </w:rPr>
      </w:pPr>
      <w:r>
        <w:rPr>
          <w:sz w:val="23"/>
          <w:szCs w:val="23"/>
        </w:rPr>
        <w:t xml:space="preserve">• </w:t>
      </w:r>
      <w:r w:rsidR="00C416F4">
        <w:rPr>
          <w:sz w:val="23"/>
          <w:szCs w:val="23"/>
        </w:rPr>
        <w:t>6 priede rodiklis, pagal kurį skaičiuojami skolinimosi ir skolos limitai – prognozuojamos Savivaldybės biudžeto pajamos – 21453,0 tūkst. Eur. Savivaldybės skola (pagal įsipareigojamuosius skolos dokumentus, įskaitant paskolos, finansinės nuomos (lizingo) sutartis, bet</w:t>
      </w:r>
      <w:r w:rsidR="002305C5">
        <w:rPr>
          <w:sz w:val="23"/>
          <w:szCs w:val="23"/>
        </w:rPr>
        <w:t xml:space="preserve"> </w:t>
      </w:r>
      <w:r w:rsidR="00C416F4">
        <w:rPr>
          <w:sz w:val="23"/>
          <w:szCs w:val="23"/>
        </w:rPr>
        <w:t xml:space="preserve">neapsiribojant jomis) 2021 metais negali viršyti 60 procentų prognozuojamų savivaldybės biudžeto pajamų sumos, t. y. </w:t>
      </w:r>
      <w:r w:rsidRPr="003D4A01">
        <w:rPr>
          <w:rFonts w:asciiTheme="majorBidi" w:hAnsiTheme="majorBidi" w:cstheme="majorBidi"/>
        </w:rPr>
        <w:t xml:space="preserve">12871,8 </w:t>
      </w:r>
      <w:r w:rsidR="00C416F4">
        <w:rPr>
          <w:sz w:val="23"/>
          <w:szCs w:val="23"/>
        </w:rPr>
        <w:t>tūkst. Eur.</w:t>
      </w:r>
    </w:p>
    <w:p w14:paraId="0498E195" w14:textId="74A4176E" w:rsidR="0048396C" w:rsidRPr="003D4A01" w:rsidRDefault="0048396C" w:rsidP="0048396C">
      <w:pPr>
        <w:pStyle w:val="Default"/>
        <w:spacing w:line="276" w:lineRule="auto"/>
        <w:ind w:firstLine="851"/>
        <w:jc w:val="both"/>
        <w:rPr>
          <w:rFonts w:asciiTheme="majorBidi" w:hAnsiTheme="majorBidi" w:cstheme="majorBidi"/>
        </w:rPr>
      </w:pPr>
      <w:r w:rsidRPr="003D4A01">
        <w:rPr>
          <w:rFonts w:asciiTheme="majorBidi" w:hAnsiTheme="majorBidi" w:cstheme="majorBidi"/>
        </w:rPr>
        <w:t xml:space="preserve">• </w:t>
      </w:r>
      <w:r w:rsidRPr="0048396C">
        <w:t>2021 metų valstybės biudžeto ir savivaldybių biudžetų finansinių rodiklių patvirtinimo įstatymo</w:t>
      </w:r>
      <w:r>
        <w:rPr>
          <w:rStyle w:val="Puslapioinaosnuoroda"/>
        </w:rPr>
        <w:footnoteReference w:id="7"/>
      </w:r>
      <w:r w:rsidRPr="0048396C">
        <w:t xml:space="preserve"> 13 str. 1 d. 5 punkte reglamentuota, kad savivaldybės prisiimti įsipareigojimai pagal garantijas dėl savivaldybės valdomų įmonių prisiimtų, bet dar neįvykdytų įsipareigojimų grąžinti kreditoriams</w:t>
      </w:r>
      <w:r>
        <w:t xml:space="preserve"> </w:t>
      </w:r>
      <w:r w:rsidRPr="0048396C">
        <w:t>lėšas pagal paskolų sutartis,</w:t>
      </w:r>
      <w:r w:rsidR="0020546A">
        <w:t xml:space="preserve"> </w:t>
      </w:r>
      <w:r w:rsidRPr="0048396C">
        <w:t>finansinės nuomos (lizingo) sutartis, kitus įsipareigojamuosius skolos dokumentus negali viršyti 10 procentų šio įstatymo 6 priede nurodytų prognozuojamų savivaldybės biudžeto pajamų</w:t>
      </w:r>
      <w:r>
        <w:t>,</w:t>
      </w:r>
      <w:r w:rsidRPr="0048396C">
        <w:rPr>
          <w:rFonts w:asciiTheme="majorBidi" w:hAnsiTheme="majorBidi" w:cstheme="majorBidi"/>
        </w:rPr>
        <w:t xml:space="preserve"> </w:t>
      </w:r>
      <w:r w:rsidRPr="003D4A01">
        <w:rPr>
          <w:rFonts w:asciiTheme="majorBidi" w:hAnsiTheme="majorBidi" w:cstheme="majorBidi"/>
        </w:rPr>
        <w:t xml:space="preserve">t. y. negali viršyti 2145,3 tūkst. Eur. </w:t>
      </w:r>
    </w:p>
    <w:p w14:paraId="00B34CA2" w14:textId="6498BFF8" w:rsidR="0048396C" w:rsidRDefault="0048396C" w:rsidP="0048396C">
      <w:pPr>
        <w:pStyle w:val="Default"/>
        <w:spacing w:line="276" w:lineRule="auto"/>
        <w:ind w:firstLine="851"/>
        <w:jc w:val="both"/>
      </w:pPr>
      <w:r w:rsidRPr="0048396C">
        <w:t>2021 metų valstybės biudžeto ir savivaldybių finansinių rodiklių patvirtinimo įstatymo 13 str. 4 d. nustatytas reikalavimas, kad Savivaldybės 2022 m. sausio 1 d. esantis įsiskolinimas (mokėtinos sumos, išskyrus sumas paskoloms grąžinti) turi būti ne didesnis už 2021 m. sausio 1 d. įsiskolinimą (mokėtinas sumas, išskyrus sumas paskoloms grąžinti).</w:t>
      </w:r>
    </w:p>
    <w:p w14:paraId="0015C83B" w14:textId="70595D3B" w:rsidR="00686DF3" w:rsidRPr="003D4A01" w:rsidRDefault="00686DF3" w:rsidP="003D4A01">
      <w:pPr>
        <w:pStyle w:val="Default"/>
        <w:spacing w:line="276" w:lineRule="auto"/>
        <w:ind w:firstLine="851"/>
        <w:jc w:val="both"/>
        <w:rPr>
          <w:rFonts w:asciiTheme="majorBidi" w:hAnsiTheme="majorBidi" w:cstheme="majorBidi"/>
        </w:rPr>
      </w:pPr>
      <w:r w:rsidRPr="003D4A01">
        <w:rPr>
          <w:rFonts w:asciiTheme="majorBidi" w:hAnsiTheme="majorBidi" w:cstheme="majorBidi"/>
        </w:rPr>
        <w:t>Pagal Fiskalinės sutarties įgyvendinimo konstitucinį įstatymą</w:t>
      </w:r>
      <w:r w:rsidRPr="003D4A01">
        <w:rPr>
          <w:rStyle w:val="Puslapioinaosnuoroda"/>
          <w:rFonts w:asciiTheme="majorBidi" w:hAnsiTheme="majorBidi" w:cstheme="majorBidi"/>
        </w:rPr>
        <w:footnoteReference w:id="8"/>
      </w:r>
      <w:r w:rsidRPr="003D4A01">
        <w:rPr>
          <w:rFonts w:asciiTheme="majorBidi" w:hAnsiTheme="majorBidi" w:cstheme="majorBidi"/>
        </w:rPr>
        <w:t>, metais, kuriais numatomas neigiamas produkcijos atotrūkis nuo potencialo</w:t>
      </w:r>
      <w:r w:rsidR="000B5613">
        <w:rPr>
          <w:rStyle w:val="Puslapioinaosnuoroda"/>
          <w:rFonts w:asciiTheme="majorBidi" w:hAnsiTheme="majorBidi" w:cstheme="majorBidi"/>
        </w:rPr>
        <w:footnoteReference w:id="9"/>
      </w:r>
      <w:r w:rsidRPr="003D4A01">
        <w:rPr>
          <w:rFonts w:asciiTheme="majorBidi" w:hAnsiTheme="majorBidi" w:cstheme="majorBidi"/>
        </w:rPr>
        <w:t>, savivaldybės biudžeto planuojami asignavimai negali viršyti pajamų daugiau kaip 1,5 procento. Skolinantis Lietuvos Respublikos finansų ministro nustatyta tvarka atrinktiems projektams, savivaldybės biudžeto atitiktis Fiskalinės sutarties įgyvendinimo konstitucinio įstatymo nuostatoms turi būti pasiekta per ketverių metų laikotarpį, skaičiuojant nuo pirmų metų, kai pradedama naudoti grynojo skolinimosi suma.</w:t>
      </w:r>
    </w:p>
    <w:p w14:paraId="458B870A" w14:textId="0C0560A0" w:rsidR="007820EB" w:rsidRDefault="007117C9" w:rsidP="003D4A01">
      <w:pPr>
        <w:spacing w:line="276" w:lineRule="auto"/>
        <w:ind w:firstLine="851"/>
        <w:jc w:val="both"/>
        <w:rPr>
          <w:rFonts w:asciiTheme="majorBidi" w:hAnsiTheme="majorBidi" w:cstheme="majorBidi"/>
          <w:color w:val="FF0000"/>
        </w:rPr>
      </w:pPr>
      <w:r w:rsidRPr="003D4A01">
        <w:rPr>
          <w:rFonts w:asciiTheme="majorBidi" w:hAnsiTheme="majorBidi" w:cstheme="majorBidi"/>
        </w:rPr>
        <w:t xml:space="preserve">1. </w:t>
      </w:r>
      <w:r w:rsidR="00686DF3" w:rsidRPr="003D4A01">
        <w:rPr>
          <w:rFonts w:asciiTheme="majorBidi" w:hAnsiTheme="majorBidi" w:cstheme="majorBidi"/>
        </w:rPr>
        <w:t xml:space="preserve">Ukmergės rajono savivaldybės prisiimti, bet dar neįvykdyti įsipareigojimai grąžinti kreditoriams lėšas, 2021 m. sausio 1 d. duomenimis, buvo </w:t>
      </w:r>
      <w:r w:rsidR="00735119">
        <w:rPr>
          <w:rFonts w:asciiTheme="majorBidi" w:hAnsiTheme="majorBidi" w:cstheme="majorBidi"/>
        </w:rPr>
        <w:t xml:space="preserve">7205,5 </w:t>
      </w:r>
      <w:r w:rsidR="00686DF3" w:rsidRPr="003D4A01">
        <w:rPr>
          <w:rFonts w:asciiTheme="majorBidi" w:hAnsiTheme="majorBidi" w:cstheme="majorBidi"/>
        </w:rPr>
        <w:t xml:space="preserve">tūkst. Eur, </w:t>
      </w:r>
      <w:r w:rsidR="00226D35">
        <w:rPr>
          <w:rFonts w:asciiTheme="majorBidi" w:hAnsiTheme="majorBidi" w:cstheme="majorBidi"/>
        </w:rPr>
        <w:t xml:space="preserve">ir sudarė </w:t>
      </w:r>
      <w:r w:rsidR="00EB0B19">
        <w:rPr>
          <w:rFonts w:asciiTheme="majorBidi" w:hAnsiTheme="majorBidi" w:cstheme="majorBidi"/>
        </w:rPr>
        <w:t xml:space="preserve">56,0 </w:t>
      </w:r>
      <w:r w:rsidR="00686DF3" w:rsidRPr="003D4A01">
        <w:rPr>
          <w:rFonts w:asciiTheme="majorBidi" w:hAnsiTheme="majorBidi" w:cstheme="majorBidi"/>
        </w:rPr>
        <w:t xml:space="preserve">proc. </w:t>
      </w:r>
      <w:r w:rsidR="00226D35">
        <w:rPr>
          <w:rFonts w:asciiTheme="majorBidi" w:hAnsiTheme="majorBidi" w:cstheme="majorBidi"/>
        </w:rPr>
        <w:t>skolinimosi rodiklio</w:t>
      </w:r>
      <w:r w:rsidR="00686DF3" w:rsidRPr="0043003F">
        <w:rPr>
          <w:rFonts w:asciiTheme="majorBidi" w:hAnsiTheme="majorBidi" w:cstheme="majorBidi"/>
        </w:rPr>
        <w:t xml:space="preserve">, </w:t>
      </w:r>
      <w:r w:rsidR="00226D35" w:rsidRPr="0043003F">
        <w:rPr>
          <w:rFonts w:asciiTheme="majorBidi" w:hAnsiTheme="majorBidi" w:cstheme="majorBidi"/>
        </w:rPr>
        <w:t>t.</w:t>
      </w:r>
      <w:r w:rsidR="0020546A">
        <w:rPr>
          <w:rFonts w:asciiTheme="majorBidi" w:hAnsiTheme="majorBidi" w:cstheme="majorBidi"/>
        </w:rPr>
        <w:t xml:space="preserve"> </w:t>
      </w:r>
      <w:r w:rsidR="00226D35" w:rsidRPr="0043003F">
        <w:rPr>
          <w:rFonts w:asciiTheme="majorBidi" w:hAnsiTheme="majorBidi" w:cstheme="majorBidi"/>
        </w:rPr>
        <w:t>sk.</w:t>
      </w:r>
      <w:r w:rsidR="00686DF3" w:rsidRPr="0043003F">
        <w:rPr>
          <w:rFonts w:asciiTheme="majorBidi" w:hAnsiTheme="majorBidi" w:cstheme="majorBidi"/>
        </w:rPr>
        <w:t>:</w:t>
      </w:r>
    </w:p>
    <w:p w14:paraId="6E552968" w14:textId="3F51F8C9" w:rsidR="00686DF3" w:rsidRPr="003D4A01" w:rsidRDefault="00686DF3" w:rsidP="00226D35">
      <w:pPr>
        <w:pStyle w:val="Default"/>
        <w:shd w:val="clear" w:color="auto" w:fill="FFFFFF" w:themeFill="background1"/>
        <w:spacing w:line="276" w:lineRule="auto"/>
        <w:ind w:firstLine="851"/>
        <w:jc w:val="both"/>
        <w:rPr>
          <w:rFonts w:asciiTheme="majorBidi" w:hAnsiTheme="majorBidi" w:cstheme="majorBidi"/>
        </w:rPr>
      </w:pPr>
      <w:r w:rsidRPr="003D4A01">
        <w:rPr>
          <w:rFonts w:asciiTheme="majorBidi" w:hAnsiTheme="majorBidi" w:cstheme="majorBidi"/>
        </w:rPr>
        <w:t xml:space="preserve">• </w:t>
      </w:r>
      <w:r w:rsidR="007117C9" w:rsidRPr="003D4A01">
        <w:rPr>
          <w:rFonts w:asciiTheme="majorBidi" w:hAnsiTheme="majorBidi" w:cstheme="majorBidi"/>
        </w:rPr>
        <w:t xml:space="preserve"> </w:t>
      </w:r>
      <w:r w:rsidR="00226D35">
        <w:rPr>
          <w:sz w:val="23"/>
          <w:szCs w:val="23"/>
        </w:rPr>
        <w:t xml:space="preserve">Savivaldybės pagal pasirašytas ilgalaikių paskolų sutartis su kredito įstaigomis paimtų ir negrąžintų paskolų likutis </w:t>
      </w:r>
      <w:r w:rsidRPr="003D4A01">
        <w:rPr>
          <w:rFonts w:asciiTheme="majorBidi" w:hAnsiTheme="majorBidi" w:cstheme="majorBidi"/>
        </w:rPr>
        <w:t xml:space="preserve">– </w:t>
      </w:r>
      <w:r w:rsidR="00226D35" w:rsidRPr="006A27E9">
        <w:rPr>
          <w:rFonts w:asciiTheme="majorBidi" w:hAnsiTheme="majorBidi" w:cstheme="majorBidi"/>
          <w:color w:val="auto"/>
        </w:rPr>
        <w:t>6359,2</w:t>
      </w:r>
      <w:r w:rsidR="007117C9" w:rsidRPr="00226D35">
        <w:rPr>
          <w:rFonts w:asciiTheme="majorBidi" w:hAnsiTheme="majorBidi" w:cstheme="majorBidi"/>
          <w:color w:val="auto"/>
        </w:rPr>
        <w:t xml:space="preserve">  tūkst</w:t>
      </w:r>
      <w:r w:rsidR="007117C9" w:rsidRPr="003D4A01">
        <w:rPr>
          <w:rFonts w:asciiTheme="majorBidi" w:hAnsiTheme="majorBidi" w:cstheme="majorBidi"/>
        </w:rPr>
        <w:t>. Eur;</w:t>
      </w:r>
    </w:p>
    <w:p w14:paraId="56097C98" w14:textId="389B120C" w:rsidR="007117C9" w:rsidRDefault="007117C9" w:rsidP="00226D35">
      <w:pPr>
        <w:pStyle w:val="Default"/>
        <w:shd w:val="clear" w:color="auto" w:fill="FFFFFF" w:themeFill="background1"/>
        <w:spacing w:line="276" w:lineRule="auto"/>
        <w:ind w:firstLine="851"/>
        <w:rPr>
          <w:rFonts w:asciiTheme="majorBidi" w:hAnsiTheme="majorBidi" w:cstheme="majorBidi"/>
        </w:rPr>
      </w:pPr>
      <w:r w:rsidRPr="003D4A01">
        <w:rPr>
          <w:rFonts w:asciiTheme="majorBidi" w:hAnsiTheme="majorBidi" w:cstheme="majorBidi"/>
        </w:rPr>
        <w:t xml:space="preserve">•  Finansinės nuomos (lizingo) sutartys </w:t>
      </w:r>
      <w:r w:rsidRPr="00226D35">
        <w:rPr>
          <w:rFonts w:asciiTheme="majorBidi" w:hAnsiTheme="majorBidi" w:cstheme="majorBidi"/>
          <w:color w:val="auto"/>
        </w:rPr>
        <w:t xml:space="preserve">– </w:t>
      </w:r>
      <w:r w:rsidR="00226D35" w:rsidRPr="00226D35">
        <w:rPr>
          <w:rFonts w:asciiTheme="majorBidi" w:hAnsiTheme="majorBidi" w:cstheme="majorBidi"/>
          <w:color w:val="auto"/>
        </w:rPr>
        <w:t>136,9</w:t>
      </w:r>
      <w:r w:rsidRPr="00226D35">
        <w:rPr>
          <w:rFonts w:asciiTheme="majorBidi" w:hAnsiTheme="majorBidi" w:cstheme="majorBidi"/>
          <w:color w:val="auto"/>
        </w:rPr>
        <w:t xml:space="preserve"> tūkst</w:t>
      </w:r>
      <w:r w:rsidRPr="003D4A01">
        <w:rPr>
          <w:rFonts w:asciiTheme="majorBidi" w:hAnsiTheme="majorBidi" w:cstheme="majorBidi"/>
        </w:rPr>
        <w:t>. Eur;</w:t>
      </w:r>
    </w:p>
    <w:p w14:paraId="457AAB07" w14:textId="2BFD89C5" w:rsidR="00457FC3" w:rsidRDefault="00457FC3" w:rsidP="00226D35">
      <w:pPr>
        <w:pStyle w:val="Default"/>
        <w:shd w:val="clear" w:color="auto" w:fill="FFFFFF" w:themeFill="background1"/>
        <w:spacing w:line="276" w:lineRule="auto"/>
        <w:ind w:firstLine="851"/>
        <w:rPr>
          <w:rFonts w:asciiTheme="majorBidi" w:hAnsiTheme="majorBidi" w:cstheme="majorBidi"/>
        </w:rPr>
      </w:pPr>
      <w:r w:rsidRPr="003D4A01">
        <w:rPr>
          <w:rFonts w:asciiTheme="majorBidi" w:hAnsiTheme="majorBidi" w:cstheme="majorBidi"/>
        </w:rPr>
        <w:t xml:space="preserve">•  </w:t>
      </w:r>
      <w:r w:rsidR="00702245">
        <w:rPr>
          <w:rFonts w:asciiTheme="majorBidi" w:hAnsiTheme="majorBidi" w:cstheme="majorBidi"/>
        </w:rPr>
        <w:t xml:space="preserve">Valstybės garantijų nuomininkams vykdymo </w:t>
      </w:r>
      <w:r w:rsidR="00226D35">
        <w:rPr>
          <w:rFonts w:asciiTheme="majorBidi" w:hAnsiTheme="majorBidi" w:cstheme="majorBidi"/>
        </w:rPr>
        <w:t>likutis</w:t>
      </w:r>
      <w:r w:rsidRPr="003D4A01">
        <w:rPr>
          <w:rFonts w:asciiTheme="majorBidi" w:hAnsiTheme="majorBidi" w:cstheme="majorBidi"/>
        </w:rPr>
        <w:t xml:space="preserve"> –</w:t>
      </w:r>
      <w:r w:rsidR="005051C4">
        <w:rPr>
          <w:rFonts w:asciiTheme="majorBidi" w:hAnsiTheme="majorBidi" w:cstheme="majorBidi"/>
        </w:rPr>
        <w:t xml:space="preserve"> </w:t>
      </w:r>
      <w:r w:rsidR="005051C4">
        <w:rPr>
          <w:rFonts w:asciiTheme="majorBidi" w:hAnsiTheme="majorBidi" w:cstheme="majorBidi"/>
          <w:color w:val="auto"/>
        </w:rPr>
        <w:t>66,5</w:t>
      </w:r>
      <w:r w:rsidRPr="00226D35">
        <w:rPr>
          <w:rFonts w:asciiTheme="majorBidi" w:hAnsiTheme="majorBidi" w:cstheme="majorBidi"/>
          <w:color w:val="auto"/>
        </w:rPr>
        <w:t xml:space="preserve"> tūkst</w:t>
      </w:r>
      <w:r w:rsidRPr="003D4A01">
        <w:rPr>
          <w:rFonts w:asciiTheme="majorBidi" w:hAnsiTheme="majorBidi" w:cstheme="majorBidi"/>
        </w:rPr>
        <w:t>. Eur;</w:t>
      </w:r>
    </w:p>
    <w:p w14:paraId="58E6AB53" w14:textId="7E9AF7BC" w:rsidR="00457FC3" w:rsidRPr="003D4A01" w:rsidRDefault="007117C9" w:rsidP="00F626F2">
      <w:pPr>
        <w:pStyle w:val="Default"/>
        <w:spacing w:line="276" w:lineRule="auto"/>
        <w:ind w:firstLine="851"/>
        <w:rPr>
          <w:rFonts w:asciiTheme="majorBidi" w:hAnsiTheme="majorBidi" w:cstheme="majorBidi"/>
        </w:rPr>
      </w:pPr>
      <w:r w:rsidRPr="003D4A01">
        <w:rPr>
          <w:rFonts w:asciiTheme="majorBidi" w:hAnsiTheme="majorBidi" w:cstheme="majorBidi"/>
        </w:rPr>
        <w:t xml:space="preserve">•  </w:t>
      </w:r>
      <w:r w:rsidR="00226D35">
        <w:rPr>
          <w:rFonts w:asciiTheme="majorBidi" w:hAnsiTheme="majorBidi" w:cstheme="majorBidi"/>
        </w:rPr>
        <w:t>Kiti</w:t>
      </w:r>
      <w:r w:rsidRPr="003D4A01">
        <w:rPr>
          <w:rFonts w:asciiTheme="majorBidi" w:hAnsiTheme="majorBidi" w:cstheme="majorBidi"/>
        </w:rPr>
        <w:t xml:space="preserve"> įsipareigojimai pagal DNMP</w:t>
      </w:r>
      <w:r w:rsidRPr="003D4A01">
        <w:rPr>
          <w:rStyle w:val="Puslapioinaosnuoroda"/>
          <w:rFonts w:asciiTheme="majorBidi" w:hAnsiTheme="majorBidi" w:cstheme="majorBidi"/>
        </w:rPr>
        <w:footnoteReference w:id="10"/>
      </w:r>
      <w:r w:rsidRPr="003D4A01">
        <w:rPr>
          <w:rFonts w:asciiTheme="majorBidi" w:hAnsiTheme="majorBidi" w:cstheme="majorBidi"/>
        </w:rPr>
        <w:t xml:space="preserve"> ir pagal  ETPT</w:t>
      </w:r>
      <w:r w:rsidRPr="003D4A01">
        <w:rPr>
          <w:rStyle w:val="Puslapioinaosnuoroda"/>
          <w:rFonts w:asciiTheme="majorBidi" w:hAnsiTheme="majorBidi" w:cstheme="majorBidi"/>
        </w:rPr>
        <w:footnoteReference w:id="11"/>
      </w:r>
      <w:r w:rsidRPr="003D4A01">
        <w:rPr>
          <w:rFonts w:asciiTheme="majorBidi" w:hAnsiTheme="majorBidi" w:cstheme="majorBidi"/>
        </w:rPr>
        <w:t xml:space="preserve"> modelį – </w:t>
      </w:r>
      <w:r w:rsidR="005051C4">
        <w:rPr>
          <w:rFonts w:asciiTheme="majorBidi" w:hAnsiTheme="majorBidi" w:cstheme="majorBidi"/>
          <w:color w:val="auto"/>
        </w:rPr>
        <w:t>642,8</w:t>
      </w:r>
      <w:r w:rsidR="00702245">
        <w:rPr>
          <w:rFonts w:asciiTheme="majorBidi" w:hAnsiTheme="majorBidi" w:cstheme="majorBidi"/>
          <w:color w:val="auto"/>
        </w:rPr>
        <w:t xml:space="preserve"> </w:t>
      </w:r>
      <w:r w:rsidRPr="003D4A01">
        <w:rPr>
          <w:rFonts w:asciiTheme="majorBidi" w:hAnsiTheme="majorBidi" w:cstheme="majorBidi"/>
        </w:rPr>
        <w:t>tūkst. Eur</w:t>
      </w:r>
      <w:r w:rsidR="00702245">
        <w:rPr>
          <w:rFonts w:asciiTheme="majorBidi" w:hAnsiTheme="majorBidi" w:cstheme="majorBidi"/>
        </w:rPr>
        <w:t>.</w:t>
      </w:r>
      <w:r w:rsidR="00F57351">
        <w:rPr>
          <w:rFonts w:asciiTheme="majorBidi" w:hAnsiTheme="majorBidi" w:cstheme="majorBidi"/>
        </w:rPr>
        <w:t xml:space="preserve">                                                                                                                                                                                                                                                                                                                                                                                                                                                                                                                                                                                                                                                                                                                                                                                                                                                                                                                                                                                                                                                                                                                                                                                                                                                                     </w:t>
      </w:r>
    </w:p>
    <w:p w14:paraId="45A0A861" w14:textId="5A753212" w:rsidR="00F626F2" w:rsidRDefault="007117C9" w:rsidP="00F626F2">
      <w:pPr>
        <w:pStyle w:val="Default"/>
        <w:spacing w:line="276" w:lineRule="auto"/>
        <w:ind w:firstLine="851"/>
        <w:jc w:val="both"/>
        <w:rPr>
          <w:rFonts w:asciiTheme="majorBidi" w:hAnsiTheme="majorBidi" w:cstheme="majorBidi"/>
        </w:rPr>
      </w:pPr>
      <w:r w:rsidRPr="003D4A01">
        <w:rPr>
          <w:rFonts w:asciiTheme="majorBidi" w:hAnsiTheme="majorBidi" w:cstheme="majorBidi"/>
        </w:rPr>
        <w:t>2. Prisiimti įsipareigojimai pagal garantijas</w:t>
      </w:r>
      <w:r w:rsidR="0020546A">
        <w:rPr>
          <w:rFonts w:asciiTheme="majorBidi" w:hAnsiTheme="majorBidi" w:cstheme="majorBidi"/>
        </w:rPr>
        <w:t xml:space="preserve"> </w:t>
      </w:r>
      <w:r w:rsidRPr="003D4A01">
        <w:rPr>
          <w:rFonts w:asciiTheme="majorBidi" w:hAnsiTheme="majorBidi" w:cstheme="majorBidi"/>
        </w:rPr>
        <w:t>dėl savivaldybės</w:t>
      </w:r>
      <w:r w:rsidR="005051C4">
        <w:rPr>
          <w:rFonts w:asciiTheme="majorBidi" w:hAnsiTheme="majorBidi" w:cstheme="majorBidi"/>
        </w:rPr>
        <w:t xml:space="preserve"> valdomų</w:t>
      </w:r>
      <w:r w:rsidRPr="003D4A01">
        <w:rPr>
          <w:rFonts w:asciiTheme="majorBidi" w:hAnsiTheme="majorBidi" w:cstheme="majorBidi"/>
        </w:rPr>
        <w:t xml:space="preserve"> įmonių prisiimtų įsipareigojimų – 538,4 tūkst. Eur, t. y</w:t>
      </w:r>
      <w:r w:rsidRPr="00745E3D">
        <w:rPr>
          <w:rFonts w:asciiTheme="majorBidi" w:hAnsiTheme="majorBidi" w:cstheme="majorBidi"/>
          <w:shd w:val="clear" w:color="auto" w:fill="FFFFFF" w:themeFill="background1"/>
        </w:rPr>
        <w:t xml:space="preserve">. </w:t>
      </w:r>
      <w:r w:rsidR="00457FC3" w:rsidRPr="00745E3D">
        <w:rPr>
          <w:rFonts w:asciiTheme="majorBidi" w:hAnsiTheme="majorBidi" w:cstheme="majorBidi"/>
          <w:shd w:val="clear" w:color="auto" w:fill="FFFFFF" w:themeFill="background1"/>
        </w:rPr>
        <w:t>2,5</w:t>
      </w:r>
      <w:r w:rsidR="005051C4">
        <w:rPr>
          <w:rFonts w:asciiTheme="majorBidi" w:hAnsiTheme="majorBidi" w:cstheme="majorBidi"/>
          <w:shd w:val="clear" w:color="auto" w:fill="FFFFFF" w:themeFill="background1"/>
        </w:rPr>
        <w:t>1</w:t>
      </w:r>
      <w:r w:rsidRPr="003D4A01">
        <w:rPr>
          <w:rFonts w:asciiTheme="majorBidi" w:hAnsiTheme="majorBidi" w:cstheme="majorBidi"/>
        </w:rPr>
        <w:t xml:space="preserve"> proc. </w:t>
      </w:r>
      <w:r w:rsidR="005051C4">
        <w:rPr>
          <w:rFonts w:asciiTheme="majorBidi" w:hAnsiTheme="majorBidi" w:cstheme="majorBidi"/>
        </w:rPr>
        <w:t>skolinimosi rodiklio.</w:t>
      </w:r>
    </w:p>
    <w:p w14:paraId="37723A9D" w14:textId="11640857" w:rsidR="00267FCC" w:rsidRPr="003D4A01" w:rsidRDefault="00352331" w:rsidP="00F626F2">
      <w:pPr>
        <w:pStyle w:val="Default"/>
        <w:spacing w:line="276" w:lineRule="auto"/>
        <w:ind w:firstLine="851"/>
        <w:jc w:val="both"/>
        <w:rPr>
          <w:rFonts w:asciiTheme="majorBidi" w:hAnsiTheme="majorBidi" w:cstheme="majorBidi"/>
        </w:rPr>
      </w:pPr>
      <w:r w:rsidRPr="003D4A01">
        <w:rPr>
          <w:rFonts w:asciiTheme="majorBidi" w:hAnsiTheme="majorBidi" w:cstheme="majorBidi"/>
        </w:rPr>
        <w:lastRenderedPageBreak/>
        <w:t>Audito metu surinkti įrodymai, pagrindžiantys Savivaldybės skolinius įsipareigojimus ir suteikiantys pagrindą pateikti Savivaldybės tarybai išvadą dėl galimybės imti paskolą iš kredito įstaigų.</w:t>
      </w:r>
    </w:p>
    <w:p w14:paraId="4CDF5B4E" w14:textId="1625D2CB" w:rsidR="00AB237A" w:rsidRDefault="00267FCC" w:rsidP="003D4A01">
      <w:pPr>
        <w:spacing w:line="276" w:lineRule="auto"/>
        <w:ind w:firstLine="851"/>
        <w:jc w:val="both"/>
        <w:rPr>
          <w:rFonts w:asciiTheme="majorBidi" w:hAnsiTheme="majorBidi" w:cstheme="majorBidi"/>
        </w:rPr>
      </w:pPr>
      <w:r w:rsidRPr="003D4A01">
        <w:rPr>
          <w:rFonts w:asciiTheme="majorBidi" w:hAnsiTheme="majorBidi" w:cstheme="majorBidi"/>
        </w:rPr>
        <w:t xml:space="preserve"> </w:t>
      </w:r>
      <w:r w:rsidRPr="003D4A01">
        <w:rPr>
          <w:rFonts w:asciiTheme="majorBidi" w:hAnsiTheme="majorBidi" w:cstheme="majorBidi"/>
          <w:b/>
          <w:i/>
        </w:rPr>
        <w:t>Išvada:</w:t>
      </w:r>
      <w:r w:rsidRPr="003D4A01">
        <w:rPr>
          <w:rFonts w:asciiTheme="majorBidi" w:hAnsiTheme="majorBidi" w:cstheme="majorBidi"/>
        </w:rPr>
        <w:t xml:space="preserve"> </w:t>
      </w:r>
      <w:r w:rsidR="00AB237A" w:rsidRPr="003D4A01">
        <w:rPr>
          <w:rFonts w:asciiTheme="majorBidi" w:hAnsiTheme="majorBidi" w:cstheme="majorBidi"/>
        </w:rPr>
        <w:t xml:space="preserve">Ukmergės rajono savivaldybės taryba </w:t>
      </w:r>
      <w:r w:rsidR="0028170B">
        <w:rPr>
          <w:rFonts w:asciiTheme="majorBidi" w:hAnsiTheme="majorBidi" w:cstheme="majorBidi"/>
        </w:rPr>
        <w:t>turi teisę</w:t>
      </w:r>
      <w:r w:rsidR="00AB237A" w:rsidRPr="003D4A01">
        <w:rPr>
          <w:rFonts w:asciiTheme="majorBidi" w:hAnsiTheme="majorBidi" w:cstheme="majorBidi"/>
        </w:rPr>
        <w:t xml:space="preserve"> priimti sprendimą </w:t>
      </w:r>
      <w:r w:rsidR="0028170B">
        <w:rPr>
          <w:rFonts w:asciiTheme="majorBidi" w:hAnsiTheme="majorBidi" w:cstheme="majorBidi"/>
        </w:rPr>
        <w:t>dėl</w:t>
      </w:r>
      <w:r w:rsidR="00AB237A" w:rsidRPr="003D4A01">
        <w:rPr>
          <w:rFonts w:asciiTheme="majorBidi" w:hAnsiTheme="majorBidi" w:cstheme="majorBidi"/>
        </w:rPr>
        <w:t xml:space="preserve"> </w:t>
      </w:r>
      <w:r w:rsidR="0048080B">
        <w:rPr>
          <w:rFonts w:asciiTheme="majorBidi" w:hAnsiTheme="majorBidi" w:cstheme="majorBidi"/>
        </w:rPr>
        <w:t>1809</w:t>
      </w:r>
      <w:r w:rsidR="00FB034C">
        <w:rPr>
          <w:rFonts w:asciiTheme="majorBidi" w:hAnsiTheme="majorBidi" w:cstheme="majorBidi"/>
        </w:rPr>
        <w:t>,</w:t>
      </w:r>
      <w:r w:rsidR="0048080B">
        <w:rPr>
          <w:rFonts w:asciiTheme="majorBidi" w:hAnsiTheme="majorBidi" w:cstheme="majorBidi"/>
        </w:rPr>
        <w:t>2</w:t>
      </w:r>
      <w:r w:rsidR="00AB237A" w:rsidRPr="003D4A01">
        <w:rPr>
          <w:rFonts w:asciiTheme="majorBidi" w:hAnsiTheme="majorBidi" w:cstheme="majorBidi"/>
        </w:rPr>
        <w:t xml:space="preserve"> </w:t>
      </w:r>
      <w:r w:rsidR="00FB034C">
        <w:rPr>
          <w:rFonts w:asciiTheme="majorBidi" w:hAnsiTheme="majorBidi" w:cstheme="majorBidi"/>
        </w:rPr>
        <w:t xml:space="preserve">tūkst. </w:t>
      </w:r>
      <w:r w:rsidR="00AB237A" w:rsidRPr="003D4A01">
        <w:rPr>
          <w:rFonts w:asciiTheme="majorBidi" w:hAnsiTheme="majorBidi" w:cstheme="majorBidi"/>
        </w:rPr>
        <w:t>eurų ilgalaik</w:t>
      </w:r>
      <w:r w:rsidR="0028170B">
        <w:rPr>
          <w:rFonts w:asciiTheme="majorBidi" w:hAnsiTheme="majorBidi" w:cstheme="majorBidi"/>
        </w:rPr>
        <w:t>ės paskolos ėmimo iš kredito įstaigų.</w:t>
      </w:r>
      <w:r w:rsidR="00FB034C">
        <w:rPr>
          <w:rFonts w:asciiTheme="majorBidi" w:hAnsiTheme="majorBidi" w:cstheme="majorBidi"/>
        </w:rPr>
        <w:t xml:space="preserve"> </w:t>
      </w:r>
    </w:p>
    <w:p w14:paraId="67430765" w14:textId="77777777" w:rsidR="00FB034C" w:rsidRPr="003D4A01" w:rsidRDefault="00FB034C" w:rsidP="00FB034C">
      <w:pPr>
        <w:pStyle w:val="Default"/>
        <w:spacing w:line="276" w:lineRule="auto"/>
        <w:ind w:firstLine="851"/>
        <w:jc w:val="both"/>
        <w:rPr>
          <w:rFonts w:asciiTheme="majorBidi" w:hAnsiTheme="majorBidi" w:cstheme="majorBidi"/>
        </w:rPr>
      </w:pPr>
      <w:r w:rsidRPr="003D4A01">
        <w:rPr>
          <w:rFonts w:asciiTheme="majorBidi" w:hAnsiTheme="majorBidi" w:cstheme="majorBidi"/>
        </w:rPr>
        <w:t xml:space="preserve">Savivaldybės administracijos Finansų skyrius tvarko ir yra atsakingas už naudojimąsi bankų kreditais, atlieka paskolų apskaitą bei analizuoja Ukmergės rajono savivaldybės skolų būklę ir skolos limitų vykdymą. </w:t>
      </w:r>
    </w:p>
    <w:p w14:paraId="5EF742D2" w14:textId="5B711138" w:rsidR="00D63811" w:rsidRDefault="00D63811" w:rsidP="003D4A01">
      <w:pPr>
        <w:spacing w:line="276" w:lineRule="auto"/>
        <w:jc w:val="both"/>
        <w:rPr>
          <w:rFonts w:asciiTheme="majorBidi" w:hAnsiTheme="majorBidi" w:cstheme="majorBidi"/>
          <w:highlight w:val="yellow"/>
          <w:lang w:eastAsia="lt-LT"/>
        </w:rPr>
      </w:pPr>
    </w:p>
    <w:p w14:paraId="1BAE6A49" w14:textId="77777777" w:rsidR="0028170B" w:rsidRPr="003D4A01" w:rsidRDefault="0028170B" w:rsidP="003D4A01">
      <w:pPr>
        <w:spacing w:line="276" w:lineRule="auto"/>
        <w:jc w:val="both"/>
        <w:rPr>
          <w:rFonts w:asciiTheme="majorBidi" w:hAnsiTheme="majorBidi" w:cstheme="majorBidi"/>
          <w:highlight w:val="yellow"/>
          <w:lang w:eastAsia="lt-LT"/>
        </w:rPr>
      </w:pPr>
    </w:p>
    <w:p w14:paraId="21CA734A" w14:textId="3F3A23A8" w:rsidR="003C6FCA" w:rsidRPr="003D4A01" w:rsidRDefault="003C6FCA" w:rsidP="003D4A01">
      <w:pPr>
        <w:shd w:val="clear" w:color="auto" w:fill="FFFFFF" w:themeFill="background1"/>
        <w:spacing w:line="276" w:lineRule="auto"/>
        <w:jc w:val="both"/>
        <w:rPr>
          <w:rFonts w:asciiTheme="majorBidi" w:hAnsiTheme="majorBidi" w:cstheme="majorBidi"/>
        </w:rPr>
      </w:pPr>
      <w:r w:rsidRPr="003D4A01">
        <w:rPr>
          <w:rFonts w:asciiTheme="majorBidi" w:hAnsiTheme="majorBidi" w:cstheme="majorBidi"/>
        </w:rPr>
        <w:t>Savivaldybės kontrolier</w:t>
      </w:r>
      <w:r w:rsidR="00925C17" w:rsidRPr="003D4A01">
        <w:rPr>
          <w:rFonts w:asciiTheme="majorBidi" w:hAnsiTheme="majorBidi" w:cstheme="majorBidi"/>
        </w:rPr>
        <w:t>ė</w:t>
      </w:r>
      <w:r w:rsidRPr="003D4A01">
        <w:rPr>
          <w:rFonts w:asciiTheme="majorBidi" w:hAnsiTheme="majorBidi" w:cstheme="majorBidi"/>
        </w:rPr>
        <w:tab/>
      </w:r>
      <w:r w:rsidRPr="003D4A01">
        <w:rPr>
          <w:rFonts w:asciiTheme="majorBidi" w:hAnsiTheme="majorBidi" w:cstheme="majorBidi"/>
        </w:rPr>
        <w:tab/>
      </w:r>
      <w:r w:rsidR="00B13665">
        <w:rPr>
          <w:rFonts w:asciiTheme="majorBidi" w:hAnsiTheme="majorBidi" w:cstheme="majorBidi"/>
        </w:rPr>
        <w:tab/>
      </w:r>
      <w:r w:rsidR="00B13665">
        <w:rPr>
          <w:rFonts w:asciiTheme="majorBidi" w:hAnsiTheme="majorBidi" w:cstheme="majorBidi"/>
        </w:rPr>
        <w:tab/>
      </w:r>
      <w:r w:rsidR="00925C17" w:rsidRPr="003D4A01">
        <w:rPr>
          <w:rFonts w:asciiTheme="majorBidi" w:hAnsiTheme="majorBidi" w:cstheme="majorBidi"/>
        </w:rPr>
        <w:t>Onutė Mikelienė</w:t>
      </w:r>
    </w:p>
    <w:p w14:paraId="324E718A" w14:textId="4E7DC31A" w:rsidR="0062156B" w:rsidRDefault="0062156B" w:rsidP="003D4A01">
      <w:pPr>
        <w:shd w:val="clear" w:color="auto" w:fill="FFFFFF" w:themeFill="background1"/>
        <w:spacing w:line="276" w:lineRule="auto"/>
        <w:jc w:val="both"/>
        <w:rPr>
          <w:rFonts w:asciiTheme="majorBidi" w:hAnsiTheme="majorBidi" w:cstheme="majorBidi"/>
        </w:rPr>
      </w:pPr>
    </w:p>
    <w:p w14:paraId="6740B971" w14:textId="39170921" w:rsidR="00D95C9C" w:rsidRDefault="00D95C9C" w:rsidP="003D4A01">
      <w:pPr>
        <w:shd w:val="clear" w:color="auto" w:fill="FFFFFF" w:themeFill="background1"/>
        <w:spacing w:line="276" w:lineRule="auto"/>
        <w:jc w:val="both"/>
        <w:rPr>
          <w:rFonts w:asciiTheme="majorBidi" w:hAnsiTheme="majorBidi" w:cstheme="majorBidi"/>
        </w:rPr>
      </w:pPr>
    </w:p>
    <w:p w14:paraId="43C6121A" w14:textId="20B1447E" w:rsidR="00D95C9C" w:rsidRDefault="00D95C9C" w:rsidP="003D4A01">
      <w:pPr>
        <w:shd w:val="clear" w:color="auto" w:fill="FFFFFF" w:themeFill="background1"/>
        <w:spacing w:line="276" w:lineRule="auto"/>
        <w:jc w:val="both"/>
        <w:rPr>
          <w:rFonts w:asciiTheme="majorBidi" w:hAnsiTheme="majorBidi" w:cstheme="majorBidi"/>
        </w:rPr>
      </w:pPr>
    </w:p>
    <w:p w14:paraId="4B9D4F78" w14:textId="6CFE832F" w:rsidR="00D95C9C" w:rsidRDefault="00D95C9C" w:rsidP="00B13665">
      <w:pPr>
        <w:shd w:val="clear" w:color="auto" w:fill="FFFFFF" w:themeFill="background1"/>
        <w:bidi/>
        <w:spacing w:line="276" w:lineRule="auto"/>
        <w:jc w:val="both"/>
        <w:rPr>
          <w:rFonts w:asciiTheme="majorBidi" w:hAnsiTheme="majorBidi" w:cstheme="majorBidi"/>
        </w:rPr>
      </w:pPr>
    </w:p>
    <w:sectPr w:rsidR="00D95C9C" w:rsidSect="000B5613">
      <w:headerReference w:type="even" r:id="rId9"/>
      <w:headerReference w:type="default" r:id="rId10"/>
      <w:footerReference w:type="default" r:id="rId11"/>
      <w:headerReference w:type="first" r:id="rId12"/>
      <w:footerReference w:type="first" r:id="rId13"/>
      <w:pgSz w:w="11906" w:h="16838"/>
      <w:pgMar w:top="1134" w:right="680" w:bottom="284" w:left="1701"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052A6" w14:textId="77777777" w:rsidR="00137E9A" w:rsidRDefault="00137E9A">
      <w:r>
        <w:separator/>
      </w:r>
    </w:p>
  </w:endnote>
  <w:endnote w:type="continuationSeparator" w:id="0">
    <w:p w14:paraId="56016BF5" w14:textId="77777777" w:rsidR="00137E9A" w:rsidRDefault="0013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43"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6666F" w14:textId="77777777" w:rsidR="00137E9A" w:rsidRPr="00E160E7" w:rsidRDefault="00137E9A" w:rsidP="00E160E7">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F7DED" w14:textId="77777777" w:rsidR="00137E9A" w:rsidRDefault="00137E9A" w:rsidP="005E517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902D3" w14:textId="77777777" w:rsidR="00137E9A" w:rsidRDefault="00137E9A">
      <w:r>
        <w:separator/>
      </w:r>
    </w:p>
  </w:footnote>
  <w:footnote w:type="continuationSeparator" w:id="0">
    <w:p w14:paraId="50653C07" w14:textId="77777777" w:rsidR="00137E9A" w:rsidRDefault="00137E9A">
      <w:r>
        <w:continuationSeparator/>
      </w:r>
    </w:p>
  </w:footnote>
  <w:footnote w:id="1">
    <w:p w14:paraId="00517EDE" w14:textId="1DD80D23" w:rsidR="00AB57E1" w:rsidRPr="00C416F4" w:rsidRDefault="00AB57E1" w:rsidP="00A47E7C">
      <w:pPr>
        <w:pStyle w:val="Default"/>
        <w:jc w:val="both"/>
        <w:rPr>
          <w:sz w:val="20"/>
          <w:szCs w:val="20"/>
        </w:rPr>
      </w:pPr>
      <w:r w:rsidRPr="00C416F4">
        <w:rPr>
          <w:rStyle w:val="Puslapioinaosnuoroda"/>
          <w:sz w:val="20"/>
          <w:szCs w:val="20"/>
        </w:rPr>
        <w:footnoteRef/>
      </w:r>
      <w:r w:rsidRPr="00C416F4">
        <w:rPr>
          <w:sz w:val="20"/>
          <w:szCs w:val="20"/>
        </w:rPr>
        <w:t xml:space="preserve"> Lietuvos Respublikos vietos savivaldos įstatymas,1994-07-07 Nr. I-533 (su vėlesniais pakeitimais).  </w:t>
      </w:r>
    </w:p>
  </w:footnote>
  <w:footnote w:id="2">
    <w:p w14:paraId="560DE5FD" w14:textId="5B8599EA" w:rsidR="00AB57E1" w:rsidRPr="00C416F4" w:rsidRDefault="00AB57E1" w:rsidP="00A47E7C">
      <w:pPr>
        <w:pStyle w:val="Default"/>
        <w:jc w:val="both"/>
        <w:rPr>
          <w:sz w:val="20"/>
          <w:szCs w:val="20"/>
        </w:rPr>
      </w:pPr>
      <w:r w:rsidRPr="00C416F4">
        <w:rPr>
          <w:rStyle w:val="Puslapioinaosnuoroda"/>
          <w:sz w:val="20"/>
          <w:szCs w:val="20"/>
        </w:rPr>
        <w:footnoteRef/>
      </w:r>
      <w:r w:rsidRPr="00C416F4">
        <w:rPr>
          <w:sz w:val="20"/>
          <w:szCs w:val="20"/>
        </w:rPr>
        <w:t xml:space="preserve"> Ukmergės rajono savivaldybės tarybos 2014 m. kovo 27 d. sprendimas Nr. 7-55 ,,Dėl Ukmergės rajono savivaldybės kontrolės ir audito tarnybos nuostatų 13 punkto pakeitimo ir papildymo“.  </w:t>
      </w:r>
    </w:p>
  </w:footnote>
  <w:footnote w:id="3">
    <w:p w14:paraId="620443B5" w14:textId="3518F643" w:rsidR="003C42AA" w:rsidRPr="00C416F4" w:rsidRDefault="003C42AA" w:rsidP="00A47E7C">
      <w:pPr>
        <w:pStyle w:val="Default"/>
        <w:jc w:val="both"/>
        <w:rPr>
          <w:sz w:val="20"/>
          <w:szCs w:val="20"/>
        </w:rPr>
      </w:pPr>
      <w:r w:rsidRPr="00C416F4">
        <w:rPr>
          <w:rStyle w:val="Puslapioinaosnuoroda"/>
          <w:sz w:val="20"/>
          <w:szCs w:val="20"/>
        </w:rPr>
        <w:footnoteRef/>
      </w:r>
      <w:r w:rsidRPr="00C416F4">
        <w:rPr>
          <w:sz w:val="20"/>
          <w:szCs w:val="20"/>
        </w:rPr>
        <w:t xml:space="preserve"> Lietuvos Respublikos biudžeto sandaros įstatymo, 1990-07-30 Nr. I-430 (su vėlesniais pakeitimais), 10 str. 1 d. 1 p.  </w:t>
      </w:r>
    </w:p>
  </w:footnote>
  <w:footnote w:id="4">
    <w:p w14:paraId="727D49AB" w14:textId="37F20BB1" w:rsidR="00A47E7C" w:rsidRPr="00C416F4" w:rsidRDefault="00A47E7C" w:rsidP="00A47E7C">
      <w:pPr>
        <w:pStyle w:val="Default"/>
        <w:jc w:val="both"/>
        <w:rPr>
          <w:sz w:val="20"/>
          <w:szCs w:val="20"/>
        </w:rPr>
      </w:pPr>
      <w:r w:rsidRPr="00C416F4">
        <w:rPr>
          <w:rStyle w:val="Puslapioinaosnuoroda"/>
          <w:sz w:val="20"/>
          <w:szCs w:val="20"/>
        </w:rPr>
        <w:footnoteRef/>
      </w:r>
      <w:r w:rsidRPr="00C416F4">
        <w:rPr>
          <w:sz w:val="20"/>
          <w:szCs w:val="20"/>
        </w:rPr>
        <w:t xml:space="preserve"> Lietuvos Respublikos Vyriausybės 2004-03-26 nutarimas Nr. 345 „Dėl savivaldybių skolinimosi taisyklių patvirtinimo (2012-03-21 redakcija, su vėlesniais pakeitimais).  </w:t>
      </w:r>
    </w:p>
  </w:footnote>
  <w:footnote w:id="5">
    <w:p w14:paraId="2BB59424" w14:textId="77777777" w:rsidR="002305C5" w:rsidRDefault="002305C5" w:rsidP="002305C5">
      <w:pPr>
        <w:pStyle w:val="Puslapioinaostekstas"/>
        <w:jc w:val="both"/>
      </w:pPr>
      <w:r>
        <w:rPr>
          <w:rStyle w:val="Puslapioinaosnuoroda"/>
        </w:rPr>
        <w:footnoteRef/>
      </w:r>
      <w:r>
        <w:t xml:space="preserve"> Savivaldybių skolinimosi taisyklės, patvirtintos Lietuvos Respublikos Vyriausybės 2004 m. kovo 26 d. nutarimu Nr. 345 „Dėl Savivaldybių skolinimosi taisyklių patvirtinimo“, 4 p., 4.1. – 4.2. p.  </w:t>
      </w:r>
    </w:p>
  </w:footnote>
  <w:footnote w:id="6">
    <w:p w14:paraId="7A4AC6DE" w14:textId="71AE4C7C" w:rsidR="00C416F4" w:rsidRPr="00F626F2" w:rsidRDefault="00C416F4" w:rsidP="000B5613">
      <w:pPr>
        <w:pStyle w:val="Puslapioinaostekstas"/>
        <w:jc w:val="both"/>
      </w:pPr>
      <w:r w:rsidRPr="00F626F2">
        <w:rPr>
          <w:rStyle w:val="Puslapioinaosnuoroda"/>
        </w:rPr>
        <w:footnoteRef/>
      </w:r>
      <w:r w:rsidRPr="00F626F2">
        <w:t xml:space="preserve"> Lietuvos Respublikos 2021 metų valstybės biudžeto ir savivaldybių biudžetų finansinių rodiklių patvirtinimo įstatymo (2020 m. gruodžio 22 d. Nr. XIV-102) 13 str. 1 d. 1 p.  </w:t>
      </w:r>
    </w:p>
  </w:footnote>
  <w:footnote w:id="7">
    <w:p w14:paraId="63C50A28" w14:textId="2F507BF8" w:rsidR="0048396C" w:rsidRPr="00F626F2" w:rsidRDefault="0048396C" w:rsidP="000B5613">
      <w:pPr>
        <w:pStyle w:val="Puslapioinaostekstas"/>
        <w:jc w:val="both"/>
      </w:pPr>
      <w:r w:rsidRPr="00F626F2">
        <w:rPr>
          <w:rStyle w:val="Puslapioinaosnuoroda"/>
        </w:rPr>
        <w:footnoteRef/>
      </w:r>
      <w:r w:rsidRPr="00F626F2">
        <w:t xml:space="preserve"> Ten pat 13 str. 1 d. 5 p.  </w:t>
      </w:r>
    </w:p>
  </w:footnote>
  <w:footnote w:id="8">
    <w:p w14:paraId="2FF89D0F" w14:textId="2E54D4E6" w:rsidR="00137E9A" w:rsidRPr="00F626F2" w:rsidRDefault="00137E9A" w:rsidP="000B5613">
      <w:pPr>
        <w:pStyle w:val="Puslapioinaostekstas"/>
        <w:jc w:val="both"/>
      </w:pPr>
      <w:r w:rsidRPr="00F626F2">
        <w:rPr>
          <w:rStyle w:val="Puslapioinaosnuoroda"/>
        </w:rPr>
        <w:footnoteRef/>
      </w:r>
      <w:r w:rsidRPr="00F626F2">
        <w:t xml:space="preserve"> Lietuvos Respublikos fiskalinės sutarties įgyvendinimo konstitucinis įstatymas, 4 str., 4 d.</w:t>
      </w:r>
    </w:p>
  </w:footnote>
  <w:footnote w:id="9">
    <w:p w14:paraId="5E8AEF58" w14:textId="5278DA05" w:rsidR="000B5613" w:rsidRDefault="000B5613" w:rsidP="000B5613">
      <w:pPr>
        <w:pStyle w:val="Puslapioinaostekstas"/>
        <w:jc w:val="both"/>
      </w:pPr>
      <w:r>
        <w:rPr>
          <w:rStyle w:val="Puslapioinaosnuoroda"/>
        </w:rPr>
        <w:footnoteRef/>
      </w:r>
      <w:r>
        <w:t>https://</w:t>
      </w:r>
      <w:r w:rsidRPr="00F626F2">
        <w:t>finmin.lrv.lt/uploads/finmin/documents/files/LT_ver/Aktual%C5%ABs_valstyb%C4%97s_finans%C5%B3_duomenys/ERS_2020-2023_aprasymas_%202020_rugsejis_.pdf</w:t>
      </w:r>
    </w:p>
  </w:footnote>
  <w:footnote w:id="10">
    <w:p w14:paraId="034DF034" w14:textId="5755D563" w:rsidR="00137E9A" w:rsidRPr="00F626F2" w:rsidRDefault="00137E9A" w:rsidP="000B5613">
      <w:pPr>
        <w:pStyle w:val="Puslapioinaostekstas"/>
        <w:jc w:val="both"/>
      </w:pPr>
      <w:r w:rsidRPr="00F626F2">
        <w:rPr>
          <w:rStyle w:val="Puslapioinaosnuoroda"/>
        </w:rPr>
        <w:footnoteRef/>
      </w:r>
      <w:r w:rsidR="000B5613">
        <w:t xml:space="preserve"> </w:t>
      </w:r>
      <w:r w:rsidRPr="00F626F2">
        <w:t xml:space="preserve"> DNMP – daugiabučių namų atnaujinimo (modernizavimo) programa, patvirtinta Lietuvos Respublikos Vyriausybės 2004 m. rugsėjo 23 d. nutarimu Nr. 1213 „Dėl Daugiabučių namų atnaujinimo (modernizavimo) programos patvirtinimo“.  </w:t>
      </w:r>
    </w:p>
  </w:footnote>
  <w:footnote w:id="11">
    <w:p w14:paraId="3B8466DA" w14:textId="1AFF689D" w:rsidR="00137E9A" w:rsidRPr="00F626F2" w:rsidRDefault="00137E9A" w:rsidP="000B5613">
      <w:pPr>
        <w:pStyle w:val="Puslapioinaostekstas"/>
        <w:jc w:val="both"/>
      </w:pPr>
      <w:r w:rsidRPr="00F626F2">
        <w:rPr>
          <w:rStyle w:val="Puslapioinaosnuoroda"/>
        </w:rPr>
        <w:footnoteRef/>
      </w:r>
      <w:r w:rsidRPr="00F626F2">
        <w:t xml:space="preserve"> ETPT modelis – viešojo pastato energinio efektyvumo didinimo projekto finansavimo ir įgyvendinimo forma, nurodyta Viešųjų pastatų energetinio efektyvumo didinimo programoje, patvirtintoje Lietuvos Respublikos Vyriausybės 2014 m. lapkričio 26 d. nutarimu Nr. 1328 „Dėl Viešųjų pastatų energinio efektyvumo didinimo programos patvirtinimo“. Apima viešųjų pastatų ir gatvių apšvietimo atnaujinimą, kai pagal sutartis atnaujinamas turtas priskiriamas valdžios sektoriui.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42C11" w14:textId="77777777" w:rsidR="00137E9A" w:rsidRDefault="00137E9A" w:rsidP="002B53B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7B4B03" w14:textId="77777777" w:rsidR="00137E9A" w:rsidRDefault="00137E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C7995" w14:textId="77777777" w:rsidR="00137E9A" w:rsidRDefault="00137E9A" w:rsidP="00136F4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BF1176D" w14:textId="77777777" w:rsidR="00137E9A" w:rsidRDefault="00137E9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4927"/>
      <w:gridCol w:w="4927"/>
    </w:tblGrid>
    <w:tr w:rsidR="00137E9A" w14:paraId="53283A8C" w14:textId="77777777">
      <w:tc>
        <w:tcPr>
          <w:tcW w:w="4927" w:type="dxa"/>
        </w:tcPr>
        <w:p w14:paraId="53821457" w14:textId="706DBDD7" w:rsidR="00137E9A" w:rsidRDefault="00137E9A" w:rsidP="00F76F7A">
          <w:pPr>
            <w:pStyle w:val="Antrats"/>
            <w:tabs>
              <w:tab w:val="clear" w:pos="8306"/>
              <w:tab w:val="right" w:pos="4711"/>
            </w:tabs>
          </w:pPr>
        </w:p>
      </w:tc>
      <w:tc>
        <w:tcPr>
          <w:tcW w:w="4927" w:type="dxa"/>
        </w:tcPr>
        <w:p w14:paraId="40533515" w14:textId="7ED29A13" w:rsidR="00137E9A" w:rsidRPr="004A1B3A" w:rsidRDefault="00137E9A" w:rsidP="00E054B3">
          <w:pPr>
            <w:pStyle w:val="Antrats"/>
            <w:rPr>
              <w:b/>
            </w:rPr>
          </w:pPr>
        </w:p>
      </w:tc>
    </w:tr>
  </w:tbl>
  <w:p w14:paraId="495AF77B" w14:textId="77777777" w:rsidR="00137E9A" w:rsidRDefault="00137E9A" w:rsidP="00B136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76495D"/>
    <w:multiLevelType w:val="hybridMultilevel"/>
    <w:tmpl w:val="EACF10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338936"/>
    <w:multiLevelType w:val="hybridMultilevel"/>
    <w:tmpl w:val="1B0847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3DA736"/>
    <w:multiLevelType w:val="hybridMultilevel"/>
    <w:tmpl w:val="76DA3E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9A8AC4"/>
    <w:multiLevelType w:val="hybridMultilevel"/>
    <w:tmpl w:val="A1A3EA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60FB5FF"/>
    <w:multiLevelType w:val="hybridMultilevel"/>
    <w:tmpl w:val="EDDB14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B04E30"/>
    <w:multiLevelType w:val="hybridMultilevel"/>
    <w:tmpl w:val="39DAEAB4"/>
    <w:lvl w:ilvl="0" w:tplc="8CAC485A">
      <w:start w:val="1"/>
      <w:numFmt w:val="decimal"/>
      <w:lvlText w:val="%1."/>
      <w:lvlJc w:val="left"/>
      <w:pPr>
        <w:tabs>
          <w:tab w:val="num" w:pos="1605"/>
        </w:tabs>
        <w:ind w:left="1605" w:hanging="360"/>
      </w:pPr>
      <w:rPr>
        <w:rFonts w:hint="default"/>
      </w:rPr>
    </w:lvl>
    <w:lvl w:ilvl="1" w:tplc="04270019" w:tentative="1">
      <w:start w:val="1"/>
      <w:numFmt w:val="lowerLetter"/>
      <w:lvlText w:val="%2."/>
      <w:lvlJc w:val="left"/>
      <w:pPr>
        <w:tabs>
          <w:tab w:val="num" w:pos="2325"/>
        </w:tabs>
        <w:ind w:left="2325" w:hanging="360"/>
      </w:pPr>
    </w:lvl>
    <w:lvl w:ilvl="2" w:tplc="0427001B" w:tentative="1">
      <w:start w:val="1"/>
      <w:numFmt w:val="lowerRoman"/>
      <w:lvlText w:val="%3."/>
      <w:lvlJc w:val="right"/>
      <w:pPr>
        <w:tabs>
          <w:tab w:val="num" w:pos="3045"/>
        </w:tabs>
        <w:ind w:left="3045" w:hanging="180"/>
      </w:pPr>
    </w:lvl>
    <w:lvl w:ilvl="3" w:tplc="0427000F" w:tentative="1">
      <w:start w:val="1"/>
      <w:numFmt w:val="decimal"/>
      <w:lvlText w:val="%4."/>
      <w:lvlJc w:val="left"/>
      <w:pPr>
        <w:tabs>
          <w:tab w:val="num" w:pos="3765"/>
        </w:tabs>
        <w:ind w:left="3765" w:hanging="360"/>
      </w:pPr>
    </w:lvl>
    <w:lvl w:ilvl="4" w:tplc="04270019" w:tentative="1">
      <w:start w:val="1"/>
      <w:numFmt w:val="lowerLetter"/>
      <w:lvlText w:val="%5."/>
      <w:lvlJc w:val="left"/>
      <w:pPr>
        <w:tabs>
          <w:tab w:val="num" w:pos="4485"/>
        </w:tabs>
        <w:ind w:left="4485" w:hanging="360"/>
      </w:pPr>
    </w:lvl>
    <w:lvl w:ilvl="5" w:tplc="0427001B" w:tentative="1">
      <w:start w:val="1"/>
      <w:numFmt w:val="lowerRoman"/>
      <w:lvlText w:val="%6."/>
      <w:lvlJc w:val="right"/>
      <w:pPr>
        <w:tabs>
          <w:tab w:val="num" w:pos="5205"/>
        </w:tabs>
        <w:ind w:left="5205" w:hanging="180"/>
      </w:pPr>
    </w:lvl>
    <w:lvl w:ilvl="6" w:tplc="0427000F" w:tentative="1">
      <w:start w:val="1"/>
      <w:numFmt w:val="decimal"/>
      <w:lvlText w:val="%7."/>
      <w:lvlJc w:val="left"/>
      <w:pPr>
        <w:tabs>
          <w:tab w:val="num" w:pos="5925"/>
        </w:tabs>
        <w:ind w:left="5925" w:hanging="360"/>
      </w:pPr>
    </w:lvl>
    <w:lvl w:ilvl="7" w:tplc="04270019" w:tentative="1">
      <w:start w:val="1"/>
      <w:numFmt w:val="lowerLetter"/>
      <w:lvlText w:val="%8."/>
      <w:lvlJc w:val="left"/>
      <w:pPr>
        <w:tabs>
          <w:tab w:val="num" w:pos="6645"/>
        </w:tabs>
        <w:ind w:left="6645" w:hanging="360"/>
      </w:pPr>
    </w:lvl>
    <w:lvl w:ilvl="8" w:tplc="0427001B" w:tentative="1">
      <w:start w:val="1"/>
      <w:numFmt w:val="lowerRoman"/>
      <w:lvlText w:val="%9."/>
      <w:lvlJc w:val="right"/>
      <w:pPr>
        <w:tabs>
          <w:tab w:val="num" w:pos="7365"/>
        </w:tabs>
        <w:ind w:left="7365" w:hanging="180"/>
      </w:pPr>
    </w:lvl>
  </w:abstractNum>
  <w:abstractNum w:abstractNumId="6" w15:restartNumberingAfterBreak="0">
    <w:nsid w:val="0B476165"/>
    <w:multiLevelType w:val="hybridMultilevel"/>
    <w:tmpl w:val="FD4CFF50"/>
    <w:lvl w:ilvl="0" w:tplc="C16A95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276E7F"/>
    <w:multiLevelType w:val="hybridMultilevel"/>
    <w:tmpl w:val="C9E8524E"/>
    <w:lvl w:ilvl="0" w:tplc="4EC8D1D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24D06C21"/>
    <w:multiLevelType w:val="hybridMultilevel"/>
    <w:tmpl w:val="6698554A"/>
    <w:lvl w:ilvl="0" w:tplc="6A1C2E58">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ED63CA"/>
    <w:multiLevelType w:val="hybridMultilevel"/>
    <w:tmpl w:val="2884AB8A"/>
    <w:lvl w:ilvl="0" w:tplc="5E2A042A">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3F86F0"/>
    <w:multiLevelType w:val="hybridMultilevel"/>
    <w:tmpl w:val="D0A4AC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8085AA3"/>
    <w:multiLevelType w:val="hybridMultilevel"/>
    <w:tmpl w:val="09EA9A0E"/>
    <w:lvl w:ilvl="0" w:tplc="99C802A6">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E34741"/>
    <w:multiLevelType w:val="hybridMultilevel"/>
    <w:tmpl w:val="1048F9D6"/>
    <w:lvl w:ilvl="0" w:tplc="96E099CE">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F2A179"/>
    <w:multiLevelType w:val="hybridMultilevel"/>
    <w:tmpl w:val="B47B71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8311468"/>
    <w:multiLevelType w:val="hybridMultilevel"/>
    <w:tmpl w:val="6CB27182"/>
    <w:lvl w:ilvl="0" w:tplc="C2AA99CA">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813FA7"/>
    <w:multiLevelType w:val="hybridMultilevel"/>
    <w:tmpl w:val="4026635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77A0A91"/>
    <w:multiLevelType w:val="hybridMultilevel"/>
    <w:tmpl w:val="CC906C7E"/>
    <w:lvl w:ilvl="0" w:tplc="FA86833A">
      <w:start w:val="1"/>
      <w:numFmt w:val="upp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6C63E2E7"/>
    <w:multiLevelType w:val="hybridMultilevel"/>
    <w:tmpl w:val="FFAEA7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CCC6084"/>
    <w:multiLevelType w:val="hybridMultilevel"/>
    <w:tmpl w:val="01F2045A"/>
    <w:lvl w:ilvl="0" w:tplc="39AE53BA">
      <w:start w:val="1"/>
      <w:numFmt w:val="decimal"/>
      <w:lvlText w:val="%1."/>
      <w:lvlJc w:val="left"/>
      <w:pPr>
        <w:tabs>
          <w:tab w:val="num" w:pos="1080"/>
        </w:tabs>
        <w:ind w:left="1080" w:hanging="360"/>
      </w:pPr>
      <w:rPr>
        <w:rFonts w:hint="default"/>
      </w:rPr>
    </w:lvl>
    <w:lvl w:ilvl="1" w:tplc="37A2974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FCF07D9"/>
    <w:multiLevelType w:val="hybridMultilevel"/>
    <w:tmpl w:val="934426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12"/>
  </w:num>
  <w:num w:numId="3">
    <w:abstractNumId w:val="5"/>
  </w:num>
  <w:num w:numId="4">
    <w:abstractNumId w:val="6"/>
  </w:num>
  <w:num w:numId="5">
    <w:abstractNumId w:val="15"/>
  </w:num>
  <w:num w:numId="6">
    <w:abstractNumId w:val="16"/>
  </w:num>
  <w:num w:numId="7">
    <w:abstractNumId w:val="8"/>
  </w:num>
  <w:num w:numId="8">
    <w:abstractNumId w:val="11"/>
  </w:num>
  <w:num w:numId="9">
    <w:abstractNumId w:val="14"/>
  </w:num>
  <w:num w:numId="10">
    <w:abstractNumId w:val="9"/>
  </w:num>
  <w:num w:numId="11">
    <w:abstractNumId w:val="7"/>
  </w:num>
  <w:num w:numId="12">
    <w:abstractNumId w:val="1"/>
  </w:num>
  <w:num w:numId="13">
    <w:abstractNumId w:val="3"/>
  </w:num>
  <w:num w:numId="14">
    <w:abstractNumId w:val="4"/>
  </w:num>
  <w:num w:numId="15">
    <w:abstractNumId w:val="17"/>
  </w:num>
  <w:num w:numId="16">
    <w:abstractNumId w:val="2"/>
  </w:num>
  <w:num w:numId="17">
    <w:abstractNumId w:val="10"/>
  </w:num>
  <w:num w:numId="18">
    <w:abstractNumId w:val="0"/>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noPunctuationKerning/>
  <w:characterSpacingControl w:val="doNotCompress"/>
  <w:hdrShapeDefaults>
    <o:shapedefaults v:ext="edit" spidmax="829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C5"/>
    <w:rsid w:val="00010017"/>
    <w:rsid w:val="000113AD"/>
    <w:rsid w:val="00017CD4"/>
    <w:rsid w:val="00020CC7"/>
    <w:rsid w:val="00024CDA"/>
    <w:rsid w:val="000549DD"/>
    <w:rsid w:val="00063C5D"/>
    <w:rsid w:val="00064EAF"/>
    <w:rsid w:val="0008027D"/>
    <w:rsid w:val="00081B32"/>
    <w:rsid w:val="00091B09"/>
    <w:rsid w:val="000929A4"/>
    <w:rsid w:val="00093269"/>
    <w:rsid w:val="000A0B16"/>
    <w:rsid w:val="000A6307"/>
    <w:rsid w:val="000B05E1"/>
    <w:rsid w:val="000B1AA6"/>
    <w:rsid w:val="000B5613"/>
    <w:rsid w:val="000B6DA0"/>
    <w:rsid w:val="000B76A0"/>
    <w:rsid w:val="000D1E7A"/>
    <w:rsid w:val="000D658D"/>
    <w:rsid w:val="000E224A"/>
    <w:rsid w:val="000E63E5"/>
    <w:rsid w:val="000F449D"/>
    <w:rsid w:val="000F7D1D"/>
    <w:rsid w:val="00105DE3"/>
    <w:rsid w:val="00106BD9"/>
    <w:rsid w:val="00107570"/>
    <w:rsid w:val="001119A7"/>
    <w:rsid w:val="00113EB7"/>
    <w:rsid w:val="00120CCA"/>
    <w:rsid w:val="0012287D"/>
    <w:rsid w:val="00127582"/>
    <w:rsid w:val="00131B13"/>
    <w:rsid w:val="001331B0"/>
    <w:rsid w:val="00136F43"/>
    <w:rsid w:val="00137E9A"/>
    <w:rsid w:val="001404BE"/>
    <w:rsid w:val="00141303"/>
    <w:rsid w:val="00166434"/>
    <w:rsid w:val="00171E8F"/>
    <w:rsid w:val="001815C5"/>
    <w:rsid w:val="00182CCC"/>
    <w:rsid w:val="0018359C"/>
    <w:rsid w:val="00184716"/>
    <w:rsid w:val="0019094E"/>
    <w:rsid w:val="00191AE8"/>
    <w:rsid w:val="0019427E"/>
    <w:rsid w:val="00195284"/>
    <w:rsid w:val="001A2705"/>
    <w:rsid w:val="001A6D82"/>
    <w:rsid w:val="001A7DD6"/>
    <w:rsid w:val="001B04CD"/>
    <w:rsid w:val="001B120B"/>
    <w:rsid w:val="001B69B2"/>
    <w:rsid w:val="001B7A3A"/>
    <w:rsid w:val="001C6F07"/>
    <w:rsid w:val="001D2F97"/>
    <w:rsid w:val="001E3614"/>
    <w:rsid w:val="001E57EB"/>
    <w:rsid w:val="001E63C8"/>
    <w:rsid w:val="001F07CF"/>
    <w:rsid w:val="001F2A4D"/>
    <w:rsid w:val="001F4E04"/>
    <w:rsid w:val="001F523F"/>
    <w:rsid w:val="00202D1E"/>
    <w:rsid w:val="00203664"/>
    <w:rsid w:val="0020546A"/>
    <w:rsid w:val="002073B7"/>
    <w:rsid w:val="00207DFE"/>
    <w:rsid w:val="00214127"/>
    <w:rsid w:val="00214509"/>
    <w:rsid w:val="0021783D"/>
    <w:rsid w:val="00223FE3"/>
    <w:rsid w:val="00226112"/>
    <w:rsid w:val="00226C0D"/>
    <w:rsid w:val="00226D35"/>
    <w:rsid w:val="00227A1C"/>
    <w:rsid w:val="002305C5"/>
    <w:rsid w:val="00231FF7"/>
    <w:rsid w:val="0023312D"/>
    <w:rsid w:val="00237E78"/>
    <w:rsid w:val="00244C39"/>
    <w:rsid w:val="00250FE1"/>
    <w:rsid w:val="00252C16"/>
    <w:rsid w:val="00252CB5"/>
    <w:rsid w:val="0025615B"/>
    <w:rsid w:val="00256363"/>
    <w:rsid w:val="002636CF"/>
    <w:rsid w:val="00263C70"/>
    <w:rsid w:val="00264ED1"/>
    <w:rsid w:val="00267FCC"/>
    <w:rsid w:val="00271339"/>
    <w:rsid w:val="00271CF2"/>
    <w:rsid w:val="00280566"/>
    <w:rsid w:val="00280664"/>
    <w:rsid w:val="0028170B"/>
    <w:rsid w:val="0028407D"/>
    <w:rsid w:val="00285F08"/>
    <w:rsid w:val="00286D3F"/>
    <w:rsid w:val="00287C90"/>
    <w:rsid w:val="00292E92"/>
    <w:rsid w:val="002A0A11"/>
    <w:rsid w:val="002A1198"/>
    <w:rsid w:val="002A44BC"/>
    <w:rsid w:val="002B03C5"/>
    <w:rsid w:val="002B0581"/>
    <w:rsid w:val="002B1E73"/>
    <w:rsid w:val="002B53B0"/>
    <w:rsid w:val="002B788E"/>
    <w:rsid w:val="002C1E4D"/>
    <w:rsid w:val="002C38ED"/>
    <w:rsid w:val="002D1692"/>
    <w:rsid w:val="002D3291"/>
    <w:rsid w:val="002D4A11"/>
    <w:rsid w:val="002E5801"/>
    <w:rsid w:val="002E6C87"/>
    <w:rsid w:val="002E7C66"/>
    <w:rsid w:val="002F0D15"/>
    <w:rsid w:val="002F261C"/>
    <w:rsid w:val="002F436D"/>
    <w:rsid w:val="002F4610"/>
    <w:rsid w:val="002F727A"/>
    <w:rsid w:val="00300C8D"/>
    <w:rsid w:val="003109A8"/>
    <w:rsid w:val="0031288E"/>
    <w:rsid w:val="003157C6"/>
    <w:rsid w:val="00317C90"/>
    <w:rsid w:val="00322B75"/>
    <w:rsid w:val="00322C8C"/>
    <w:rsid w:val="00333472"/>
    <w:rsid w:val="00341B70"/>
    <w:rsid w:val="00342B32"/>
    <w:rsid w:val="00352331"/>
    <w:rsid w:val="00353CDD"/>
    <w:rsid w:val="00353EF8"/>
    <w:rsid w:val="003622BE"/>
    <w:rsid w:val="0036430F"/>
    <w:rsid w:val="00366269"/>
    <w:rsid w:val="003762D9"/>
    <w:rsid w:val="00376DA0"/>
    <w:rsid w:val="00382003"/>
    <w:rsid w:val="00390A7F"/>
    <w:rsid w:val="0039647E"/>
    <w:rsid w:val="003A7C18"/>
    <w:rsid w:val="003B0866"/>
    <w:rsid w:val="003B1576"/>
    <w:rsid w:val="003C1AEB"/>
    <w:rsid w:val="003C42AA"/>
    <w:rsid w:val="003C6FCA"/>
    <w:rsid w:val="003D4A01"/>
    <w:rsid w:val="003D7FC8"/>
    <w:rsid w:val="003E069A"/>
    <w:rsid w:val="003E6D4D"/>
    <w:rsid w:val="003E76C3"/>
    <w:rsid w:val="003F478F"/>
    <w:rsid w:val="00411B00"/>
    <w:rsid w:val="0041688B"/>
    <w:rsid w:val="004220C9"/>
    <w:rsid w:val="0043003F"/>
    <w:rsid w:val="00430167"/>
    <w:rsid w:val="00450238"/>
    <w:rsid w:val="00457FC3"/>
    <w:rsid w:val="00461E15"/>
    <w:rsid w:val="004664A5"/>
    <w:rsid w:val="004722B7"/>
    <w:rsid w:val="00474123"/>
    <w:rsid w:val="0047421E"/>
    <w:rsid w:val="0048080B"/>
    <w:rsid w:val="0048396C"/>
    <w:rsid w:val="00485B32"/>
    <w:rsid w:val="00487D14"/>
    <w:rsid w:val="004A1B3A"/>
    <w:rsid w:val="004A4487"/>
    <w:rsid w:val="004A5CB2"/>
    <w:rsid w:val="004A6B46"/>
    <w:rsid w:val="004B7CF6"/>
    <w:rsid w:val="004C1AE1"/>
    <w:rsid w:val="004C5EEE"/>
    <w:rsid w:val="004D02FD"/>
    <w:rsid w:val="004D5D9D"/>
    <w:rsid w:val="004E615C"/>
    <w:rsid w:val="004E7FE4"/>
    <w:rsid w:val="004F6EFE"/>
    <w:rsid w:val="00503155"/>
    <w:rsid w:val="0050355D"/>
    <w:rsid w:val="005051C4"/>
    <w:rsid w:val="00507F55"/>
    <w:rsid w:val="00516B5F"/>
    <w:rsid w:val="00521791"/>
    <w:rsid w:val="00524655"/>
    <w:rsid w:val="00532FA6"/>
    <w:rsid w:val="00535F12"/>
    <w:rsid w:val="00550A24"/>
    <w:rsid w:val="0055372D"/>
    <w:rsid w:val="005542A4"/>
    <w:rsid w:val="0055436B"/>
    <w:rsid w:val="00556D81"/>
    <w:rsid w:val="00557567"/>
    <w:rsid w:val="00560B0F"/>
    <w:rsid w:val="005634AD"/>
    <w:rsid w:val="00564779"/>
    <w:rsid w:val="005665BB"/>
    <w:rsid w:val="005750E3"/>
    <w:rsid w:val="0057561A"/>
    <w:rsid w:val="00580C26"/>
    <w:rsid w:val="005820E7"/>
    <w:rsid w:val="00583915"/>
    <w:rsid w:val="0058554D"/>
    <w:rsid w:val="00586827"/>
    <w:rsid w:val="00586D1E"/>
    <w:rsid w:val="00586DA6"/>
    <w:rsid w:val="005940D7"/>
    <w:rsid w:val="00597CD8"/>
    <w:rsid w:val="005A6B8D"/>
    <w:rsid w:val="005B3943"/>
    <w:rsid w:val="005B679B"/>
    <w:rsid w:val="005D16A0"/>
    <w:rsid w:val="005D4662"/>
    <w:rsid w:val="005E1BA0"/>
    <w:rsid w:val="005E517A"/>
    <w:rsid w:val="005F5D63"/>
    <w:rsid w:val="00602CB9"/>
    <w:rsid w:val="00602E3D"/>
    <w:rsid w:val="00607A33"/>
    <w:rsid w:val="006160F6"/>
    <w:rsid w:val="00617229"/>
    <w:rsid w:val="00617531"/>
    <w:rsid w:val="0062145F"/>
    <w:rsid w:val="0062156B"/>
    <w:rsid w:val="0062624D"/>
    <w:rsid w:val="006320AF"/>
    <w:rsid w:val="006370D7"/>
    <w:rsid w:val="006526C0"/>
    <w:rsid w:val="00664676"/>
    <w:rsid w:val="00666903"/>
    <w:rsid w:val="00671147"/>
    <w:rsid w:val="00681D70"/>
    <w:rsid w:val="00686DF3"/>
    <w:rsid w:val="0069347C"/>
    <w:rsid w:val="00694D26"/>
    <w:rsid w:val="006A245C"/>
    <w:rsid w:val="006A27E9"/>
    <w:rsid w:val="006A2834"/>
    <w:rsid w:val="006A7280"/>
    <w:rsid w:val="006B6F22"/>
    <w:rsid w:val="006B77C5"/>
    <w:rsid w:val="006C0495"/>
    <w:rsid w:val="006C366E"/>
    <w:rsid w:val="006C598F"/>
    <w:rsid w:val="006D40E6"/>
    <w:rsid w:val="006E02F9"/>
    <w:rsid w:val="006F1182"/>
    <w:rsid w:val="00702245"/>
    <w:rsid w:val="0070274D"/>
    <w:rsid w:val="007056BD"/>
    <w:rsid w:val="00706B74"/>
    <w:rsid w:val="007117C9"/>
    <w:rsid w:val="00712735"/>
    <w:rsid w:val="0071606C"/>
    <w:rsid w:val="007234C9"/>
    <w:rsid w:val="00725879"/>
    <w:rsid w:val="00733857"/>
    <w:rsid w:val="00735119"/>
    <w:rsid w:val="0074069D"/>
    <w:rsid w:val="00741834"/>
    <w:rsid w:val="007418C9"/>
    <w:rsid w:val="0074409D"/>
    <w:rsid w:val="00745027"/>
    <w:rsid w:val="00745E3D"/>
    <w:rsid w:val="0075425D"/>
    <w:rsid w:val="00755C43"/>
    <w:rsid w:val="0075602C"/>
    <w:rsid w:val="007577F7"/>
    <w:rsid w:val="00765B4A"/>
    <w:rsid w:val="00767936"/>
    <w:rsid w:val="0077304C"/>
    <w:rsid w:val="00773D68"/>
    <w:rsid w:val="007748B9"/>
    <w:rsid w:val="007820EB"/>
    <w:rsid w:val="007866CB"/>
    <w:rsid w:val="007A04AF"/>
    <w:rsid w:val="007A3EFC"/>
    <w:rsid w:val="007A6CAD"/>
    <w:rsid w:val="007B04E0"/>
    <w:rsid w:val="007B7274"/>
    <w:rsid w:val="007C3379"/>
    <w:rsid w:val="007C63A7"/>
    <w:rsid w:val="007E7F11"/>
    <w:rsid w:val="007F1EC4"/>
    <w:rsid w:val="007F6919"/>
    <w:rsid w:val="007F7A6C"/>
    <w:rsid w:val="00802777"/>
    <w:rsid w:val="00805793"/>
    <w:rsid w:val="00805919"/>
    <w:rsid w:val="00807CBD"/>
    <w:rsid w:val="00807D39"/>
    <w:rsid w:val="00807E6E"/>
    <w:rsid w:val="008110DB"/>
    <w:rsid w:val="00811229"/>
    <w:rsid w:val="0081493F"/>
    <w:rsid w:val="00816BC3"/>
    <w:rsid w:val="00820119"/>
    <w:rsid w:val="00823793"/>
    <w:rsid w:val="008364E9"/>
    <w:rsid w:val="00845BBE"/>
    <w:rsid w:val="00846AC8"/>
    <w:rsid w:val="0084785D"/>
    <w:rsid w:val="008547AC"/>
    <w:rsid w:val="008547F4"/>
    <w:rsid w:val="00862468"/>
    <w:rsid w:val="00863367"/>
    <w:rsid w:val="00865153"/>
    <w:rsid w:val="00867E21"/>
    <w:rsid w:val="00867EE6"/>
    <w:rsid w:val="00872F86"/>
    <w:rsid w:val="0087628B"/>
    <w:rsid w:val="00877DBB"/>
    <w:rsid w:val="00887638"/>
    <w:rsid w:val="0089118C"/>
    <w:rsid w:val="008928ED"/>
    <w:rsid w:val="00894013"/>
    <w:rsid w:val="008B0276"/>
    <w:rsid w:val="008B6034"/>
    <w:rsid w:val="008C210A"/>
    <w:rsid w:val="008C361B"/>
    <w:rsid w:val="008C3B26"/>
    <w:rsid w:val="008C4FC2"/>
    <w:rsid w:val="008C68AD"/>
    <w:rsid w:val="008D1EB5"/>
    <w:rsid w:val="008D7A26"/>
    <w:rsid w:val="008E15B0"/>
    <w:rsid w:val="008E3888"/>
    <w:rsid w:val="008E3C76"/>
    <w:rsid w:val="008E46A8"/>
    <w:rsid w:val="008E5009"/>
    <w:rsid w:val="008E6DBF"/>
    <w:rsid w:val="008F0904"/>
    <w:rsid w:val="008F1878"/>
    <w:rsid w:val="00900E9E"/>
    <w:rsid w:val="00900FDA"/>
    <w:rsid w:val="009030DF"/>
    <w:rsid w:val="00907DB7"/>
    <w:rsid w:val="00910584"/>
    <w:rsid w:val="00921891"/>
    <w:rsid w:val="009226B7"/>
    <w:rsid w:val="00925C17"/>
    <w:rsid w:val="0092691C"/>
    <w:rsid w:val="00926EAE"/>
    <w:rsid w:val="00940277"/>
    <w:rsid w:val="00945931"/>
    <w:rsid w:val="00946486"/>
    <w:rsid w:val="00953F1E"/>
    <w:rsid w:val="00955544"/>
    <w:rsid w:val="00962FB4"/>
    <w:rsid w:val="0096569D"/>
    <w:rsid w:val="00972B11"/>
    <w:rsid w:val="00973B17"/>
    <w:rsid w:val="00974336"/>
    <w:rsid w:val="00974F1F"/>
    <w:rsid w:val="00975DAC"/>
    <w:rsid w:val="00977070"/>
    <w:rsid w:val="00977445"/>
    <w:rsid w:val="00977789"/>
    <w:rsid w:val="00993B0E"/>
    <w:rsid w:val="00994D38"/>
    <w:rsid w:val="0099711B"/>
    <w:rsid w:val="009A2F38"/>
    <w:rsid w:val="009A7639"/>
    <w:rsid w:val="009B43E5"/>
    <w:rsid w:val="009C13BD"/>
    <w:rsid w:val="009C5DBF"/>
    <w:rsid w:val="009C731F"/>
    <w:rsid w:val="009D3D96"/>
    <w:rsid w:val="009D7223"/>
    <w:rsid w:val="009E2259"/>
    <w:rsid w:val="009E3558"/>
    <w:rsid w:val="009E772F"/>
    <w:rsid w:val="009F23DC"/>
    <w:rsid w:val="009F738E"/>
    <w:rsid w:val="00A05D2D"/>
    <w:rsid w:val="00A12AF0"/>
    <w:rsid w:val="00A1686E"/>
    <w:rsid w:val="00A2524C"/>
    <w:rsid w:val="00A25E7B"/>
    <w:rsid w:val="00A35F0C"/>
    <w:rsid w:val="00A403A3"/>
    <w:rsid w:val="00A4329B"/>
    <w:rsid w:val="00A44E55"/>
    <w:rsid w:val="00A47E7C"/>
    <w:rsid w:val="00A542CB"/>
    <w:rsid w:val="00A558C7"/>
    <w:rsid w:val="00A608F6"/>
    <w:rsid w:val="00A63DAB"/>
    <w:rsid w:val="00A647B3"/>
    <w:rsid w:val="00A67529"/>
    <w:rsid w:val="00A77BE6"/>
    <w:rsid w:val="00A83E16"/>
    <w:rsid w:val="00AA0BC5"/>
    <w:rsid w:val="00AA2C80"/>
    <w:rsid w:val="00AA33A7"/>
    <w:rsid w:val="00AB0C29"/>
    <w:rsid w:val="00AB20EC"/>
    <w:rsid w:val="00AB2363"/>
    <w:rsid w:val="00AB237A"/>
    <w:rsid w:val="00AB57E1"/>
    <w:rsid w:val="00AB6F7E"/>
    <w:rsid w:val="00AC47BA"/>
    <w:rsid w:val="00AC52F5"/>
    <w:rsid w:val="00AC5934"/>
    <w:rsid w:val="00AD081F"/>
    <w:rsid w:val="00AE2360"/>
    <w:rsid w:val="00AE6984"/>
    <w:rsid w:val="00AF7FD6"/>
    <w:rsid w:val="00B10013"/>
    <w:rsid w:val="00B13665"/>
    <w:rsid w:val="00B1440D"/>
    <w:rsid w:val="00B1557B"/>
    <w:rsid w:val="00B2592D"/>
    <w:rsid w:val="00B27D04"/>
    <w:rsid w:val="00B34CBE"/>
    <w:rsid w:val="00B4247C"/>
    <w:rsid w:val="00B5443C"/>
    <w:rsid w:val="00B62358"/>
    <w:rsid w:val="00B63126"/>
    <w:rsid w:val="00B6312D"/>
    <w:rsid w:val="00B646F6"/>
    <w:rsid w:val="00B72CB0"/>
    <w:rsid w:val="00B736A3"/>
    <w:rsid w:val="00B75B33"/>
    <w:rsid w:val="00B77007"/>
    <w:rsid w:val="00B8198F"/>
    <w:rsid w:val="00B85AEF"/>
    <w:rsid w:val="00B968EE"/>
    <w:rsid w:val="00B97223"/>
    <w:rsid w:val="00BB00FE"/>
    <w:rsid w:val="00BB057D"/>
    <w:rsid w:val="00BB1167"/>
    <w:rsid w:val="00BB4CE3"/>
    <w:rsid w:val="00BB6596"/>
    <w:rsid w:val="00BC2277"/>
    <w:rsid w:val="00BC43DA"/>
    <w:rsid w:val="00BC7DE5"/>
    <w:rsid w:val="00BD5582"/>
    <w:rsid w:val="00BE19EB"/>
    <w:rsid w:val="00BE4A68"/>
    <w:rsid w:val="00BE5462"/>
    <w:rsid w:val="00BF0A73"/>
    <w:rsid w:val="00C0154F"/>
    <w:rsid w:val="00C05E61"/>
    <w:rsid w:val="00C111F0"/>
    <w:rsid w:val="00C11496"/>
    <w:rsid w:val="00C11590"/>
    <w:rsid w:val="00C138BB"/>
    <w:rsid w:val="00C23C20"/>
    <w:rsid w:val="00C23DC0"/>
    <w:rsid w:val="00C26311"/>
    <w:rsid w:val="00C27789"/>
    <w:rsid w:val="00C33E90"/>
    <w:rsid w:val="00C34A85"/>
    <w:rsid w:val="00C378CD"/>
    <w:rsid w:val="00C416F4"/>
    <w:rsid w:val="00C520B4"/>
    <w:rsid w:val="00C53574"/>
    <w:rsid w:val="00C60962"/>
    <w:rsid w:val="00C70896"/>
    <w:rsid w:val="00C709BA"/>
    <w:rsid w:val="00C75C09"/>
    <w:rsid w:val="00C762DC"/>
    <w:rsid w:val="00C8476F"/>
    <w:rsid w:val="00C94441"/>
    <w:rsid w:val="00C96A4E"/>
    <w:rsid w:val="00CB12F4"/>
    <w:rsid w:val="00CB4A15"/>
    <w:rsid w:val="00CC1BA3"/>
    <w:rsid w:val="00CC2D29"/>
    <w:rsid w:val="00CC76CD"/>
    <w:rsid w:val="00CD0FB4"/>
    <w:rsid w:val="00CD40B4"/>
    <w:rsid w:val="00CD5CCB"/>
    <w:rsid w:val="00CE0D93"/>
    <w:rsid w:val="00CE74DC"/>
    <w:rsid w:val="00CF1E42"/>
    <w:rsid w:val="00CF29A4"/>
    <w:rsid w:val="00CF3F1F"/>
    <w:rsid w:val="00CF54F1"/>
    <w:rsid w:val="00D13BC3"/>
    <w:rsid w:val="00D20054"/>
    <w:rsid w:val="00D210A9"/>
    <w:rsid w:val="00D24D7C"/>
    <w:rsid w:val="00D27B83"/>
    <w:rsid w:val="00D31DDB"/>
    <w:rsid w:val="00D344BF"/>
    <w:rsid w:val="00D34CC7"/>
    <w:rsid w:val="00D35ECF"/>
    <w:rsid w:val="00D37D1D"/>
    <w:rsid w:val="00D409B3"/>
    <w:rsid w:val="00D41431"/>
    <w:rsid w:val="00D52A4B"/>
    <w:rsid w:val="00D63811"/>
    <w:rsid w:val="00D65DAC"/>
    <w:rsid w:val="00D73B41"/>
    <w:rsid w:val="00D833B6"/>
    <w:rsid w:val="00D92489"/>
    <w:rsid w:val="00D92CC8"/>
    <w:rsid w:val="00D95C9C"/>
    <w:rsid w:val="00D960C1"/>
    <w:rsid w:val="00DA3A7F"/>
    <w:rsid w:val="00DB1710"/>
    <w:rsid w:val="00DB2327"/>
    <w:rsid w:val="00DC6B29"/>
    <w:rsid w:val="00DD191C"/>
    <w:rsid w:val="00DD55AE"/>
    <w:rsid w:val="00DE0317"/>
    <w:rsid w:val="00DE1533"/>
    <w:rsid w:val="00DE6D79"/>
    <w:rsid w:val="00DF1A92"/>
    <w:rsid w:val="00DF7D4F"/>
    <w:rsid w:val="00E02DDE"/>
    <w:rsid w:val="00E054B3"/>
    <w:rsid w:val="00E07C67"/>
    <w:rsid w:val="00E118C5"/>
    <w:rsid w:val="00E13561"/>
    <w:rsid w:val="00E1509E"/>
    <w:rsid w:val="00E160E7"/>
    <w:rsid w:val="00E212AB"/>
    <w:rsid w:val="00E219B9"/>
    <w:rsid w:val="00E262DF"/>
    <w:rsid w:val="00E332F2"/>
    <w:rsid w:val="00E3637C"/>
    <w:rsid w:val="00E43E8E"/>
    <w:rsid w:val="00E4732A"/>
    <w:rsid w:val="00E511D9"/>
    <w:rsid w:val="00E63242"/>
    <w:rsid w:val="00E7036D"/>
    <w:rsid w:val="00E776D0"/>
    <w:rsid w:val="00E77C16"/>
    <w:rsid w:val="00E8681F"/>
    <w:rsid w:val="00EA00F1"/>
    <w:rsid w:val="00EA414E"/>
    <w:rsid w:val="00EB0B19"/>
    <w:rsid w:val="00EB3AC4"/>
    <w:rsid w:val="00EB5852"/>
    <w:rsid w:val="00EC619B"/>
    <w:rsid w:val="00EC6A4E"/>
    <w:rsid w:val="00ED0CE8"/>
    <w:rsid w:val="00ED41F2"/>
    <w:rsid w:val="00EE5CD2"/>
    <w:rsid w:val="00EE7B81"/>
    <w:rsid w:val="00EF0500"/>
    <w:rsid w:val="00F038D5"/>
    <w:rsid w:val="00F10EBF"/>
    <w:rsid w:val="00F12CF4"/>
    <w:rsid w:val="00F1622F"/>
    <w:rsid w:val="00F1793D"/>
    <w:rsid w:val="00F25822"/>
    <w:rsid w:val="00F26E80"/>
    <w:rsid w:val="00F31AF5"/>
    <w:rsid w:val="00F32BB0"/>
    <w:rsid w:val="00F330A5"/>
    <w:rsid w:val="00F3315C"/>
    <w:rsid w:val="00F34B74"/>
    <w:rsid w:val="00F37A0A"/>
    <w:rsid w:val="00F40C8C"/>
    <w:rsid w:val="00F413CD"/>
    <w:rsid w:val="00F417C6"/>
    <w:rsid w:val="00F4445A"/>
    <w:rsid w:val="00F55003"/>
    <w:rsid w:val="00F57351"/>
    <w:rsid w:val="00F6076F"/>
    <w:rsid w:val="00F626F2"/>
    <w:rsid w:val="00F67C89"/>
    <w:rsid w:val="00F76F7A"/>
    <w:rsid w:val="00F77D8C"/>
    <w:rsid w:val="00F820C6"/>
    <w:rsid w:val="00F829F3"/>
    <w:rsid w:val="00F83B70"/>
    <w:rsid w:val="00F86EF0"/>
    <w:rsid w:val="00FA2ABE"/>
    <w:rsid w:val="00FB034C"/>
    <w:rsid w:val="00FB0458"/>
    <w:rsid w:val="00FB07E0"/>
    <w:rsid w:val="00FB15E7"/>
    <w:rsid w:val="00FB43C5"/>
    <w:rsid w:val="00FB60BA"/>
    <w:rsid w:val="00FB7C13"/>
    <w:rsid w:val="00FC06D0"/>
    <w:rsid w:val="00FC4D7A"/>
    <w:rsid w:val="00FD0B82"/>
    <w:rsid w:val="00FD5AE0"/>
    <w:rsid w:val="00FD7D72"/>
    <w:rsid w:val="00FF0D60"/>
    <w:rsid w:val="00FF1F56"/>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23BF2C92"/>
  <w15:chartTrackingRefBased/>
  <w15:docId w15:val="{5F9B24B4-117E-4A60-A594-6E3C0085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rsid w:val="006C0495"/>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Dokumentoinaostekstas">
    <w:name w:val="endnote text"/>
    <w:basedOn w:val="prastasis"/>
    <w:semiHidden/>
    <w:rPr>
      <w:sz w:val="20"/>
      <w:szCs w:val="20"/>
    </w:rPr>
  </w:style>
  <w:style w:type="character" w:styleId="Dokumentoinaosnumeris">
    <w:name w:val="endnote reference"/>
    <w:semiHidden/>
    <w:rPr>
      <w:vertAlign w:val="superscript"/>
    </w:rPr>
  </w:style>
  <w:style w:type="paragraph" w:styleId="Porat">
    <w:name w:val="footer"/>
    <w:basedOn w:val="prastasis"/>
    <w:pPr>
      <w:tabs>
        <w:tab w:val="center" w:pos="4153"/>
        <w:tab w:val="right" w:pos="8306"/>
      </w:tabs>
    </w:pPr>
  </w:style>
  <w:style w:type="character" w:styleId="Hipersaitas">
    <w:name w:val="Hyperlink"/>
    <w:rsid w:val="006C0495"/>
    <w:rPr>
      <w:strike w:val="0"/>
      <w:dstrike w:val="0"/>
      <w:color w:val="4B4B4B"/>
      <w:u w:val="none"/>
      <w:effect w:val="none"/>
    </w:rPr>
  </w:style>
  <w:style w:type="paragraph" w:styleId="Pagrindinistekstas2">
    <w:name w:val="Body Text 2"/>
    <w:basedOn w:val="prastasis"/>
    <w:rsid w:val="006C0495"/>
    <w:pPr>
      <w:jc w:val="both"/>
    </w:pPr>
    <w:rPr>
      <w:rFonts w:ascii="Arial" w:hAnsi="Arial" w:cs="Arial"/>
      <w:sz w:val="22"/>
    </w:rPr>
  </w:style>
  <w:style w:type="paragraph" w:styleId="Debesliotekstas">
    <w:name w:val="Balloon Text"/>
    <w:basedOn w:val="prastasis"/>
    <w:semiHidden/>
    <w:rsid w:val="00550A24"/>
    <w:rPr>
      <w:rFonts w:ascii="Tahoma" w:hAnsi="Tahoma" w:cs="Tahoma"/>
      <w:sz w:val="16"/>
      <w:szCs w:val="16"/>
    </w:rPr>
  </w:style>
  <w:style w:type="paragraph" w:styleId="Pagrindiniotekstotrauka2">
    <w:name w:val="Body Text Indent 2"/>
    <w:basedOn w:val="prastasis"/>
    <w:rsid w:val="002E5801"/>
    <w:pPr>
      <w:spacing w:after="120" w:line="480" w:lineRule="auto"/>
      <w:ind w:left="283"/>
    </w:pPr>
  </w:style>
  <w:style w:type="paragraph" w:styleId="Tekstoblokas">
    <w:name w:val="Block Text"/>
    <w:basedOn w:val="prastasis"/>
    <w:rsid w:val="002E5801"/>
    <w:pPr>
      <w:ind w:left="-284" w:right="-483"/>
      <w:jc w:val="both"/>
    </w:pPr>
    <w:rPr>
      <w:b/>
      <w:szCs w:val="20"/>
    </w:rPr>
  </w:style>
  <w:style w:type="table" w:styleId="Lentelstinklelis">
    <w:name w:val="Table Grid"/>
    <w:basedOn w:val="prastojilentel"/>
    <w:rsid w:val="001C6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Char, Char Char, Char,Footnote Text Char1,Footnote Text Char Char,Footnote Text Char1 Char Char,Footnote Text Char Char Char Char, Char Char Char Char,Footnote Text Char Char1 Char1, Char Char Char Char Char Char,C"/>
    <w:basedOn w:val="prastasis"/>
    <w:link w:val="PuslapioinaostekstasDiagrama"/>
    <w:unhideWhenUsed/>
    <w:rsid w:val="00D73B41"/>
    <w:rPr>
      <w:sz w:val="20"/>
      <w:szCs w:val="20"/>
    </w:rPr>
  </w:style>
  <w:style w:type="character" w:customStyle="1" w:styleId="PuslapioinaostekstasDiagrama">
    <w:name w:val="Puslapio išnašos tekstas Diagrama"/>
    <w:aliases w:val="Footnote Text Char Diagrama, Char Char Diagrama, Char Diagrama,Footnote Text Char1 Diagrama,Footnote Text Char Char Diagrama,Footnote Text Char1 Char Char Diagrama,Footnote Text Char Char Char Char Diagrama,C Diagrama"/>
    <w:basedOn w:val="Numatytasispastraiposriftas"/>
    <w:link w:val="Puslapioinaostekstas"/>
    <w:rsid w:val="00D73B41"/>
    <w:rPr>
      <w:lang w:eastAsia="en-US"/>
    </w:rPr>
  </w:style>
  <w:style w:type="character" w:styleId="Puslapioinaosnuoroda">
    <w:name w:val="footnote reference"/>
    <w:aliases w:val="Footnote symbol"/>
    <w:uiPriority w:val="99"/>
    <w:unhideWhenUsed/>
    <w:rsid w:val="00D73B41"/>
    <w:rPr>
      <w:vertAlign w:val="superscript"/>
    </w:rPr>
  </w:style>
  <w:style w:type="paragraph" w:styleId="Sraopastraipa">
    <w:name w:val="List Paragraph"/>
    <w:basedOn w:val="prastasis"/>
    <w:uiPriority w:val="34"/>
    <w:qFormat/>
    <w:rsid w:val="00D73B41"/>
    <w:pPr>
      <w:ind w:left="720"/>
      <w:contextualSpacing/>
    </w:pPr>
  </w:style>
  <w:style w:type="character" w:styleId="Grietas">
    <w:name w:val="Strong"/>
    <w:uiPriority w:val="22"/>
    <w:qFormat/>
    <w:rsid w:val="003E76C3"/>
    <w:rPr>
      <w:b/>
      <w:bCs/>
    </w:rPr>
  </w:style>
  <w:style w:type="paragraph" w:customStyle="1" w:styleId="Default">
    <w:name w:val="Default"/>
    <w:rsid w:val="0062156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64365">
      <w:bodyDiv w:val="1"/>
      <w:marLeft w:val="0"/>
      <w:marRight w:val="0"/>
      <w:marTop w:val="0"/>
      <w:marBottom w:val="0"/>
      <w:divBdr>
        <w:top w:val="none" w:sz="0" w:space="0" w:color="auto"/>
        <w:left w:val="none" w:sz="0" w:space="0" w:color="auto"/>
        <w:bottom w:val="none" w:sz="0" w:space="0" w:color="auto"/>
        <w:right w:val="none" w:sz="0" w:space="0" w:color="auto"/>
      </w:divBdr>
    </w:div>
    <w:div w:id="111286878">
      <w:bodyDiv w:val="1"/>
      <w:marLeft w:val="0"/>
      <w:marRight w:val="0"/>
      <w:marTop w:val="0"/>
      <w:marBottom w:val="0"/>
      <w:divBdr>
        <w:top w:val="none" w:sz="0" w:space="0" w:color="auto"/>
        <w:left w:val="none" w:sz="0" w:space="0" w:color="auto"/>
        <w:bottom w:val="none" w:sz="0" w:space="0" w:color="auto"/>
        <w:right w:val="none" w:sz="0" w:space="0" w:color="auto"/>
      </w:divBdr>
    </w:div>
    <w:div w:id="488326497">
      <w:bodyDiv w:val="1"/>
      <w:marLeft w:val="0"/>
      <w:marRight w:val="0"/>
      <w:marTop w:val="0"/>
      <w:marBottom w:val="0"/>
      <w:divBdr>
        <w:top w:val="none" w:sz="0" w:space="0" w:color="auto"/>
        <w:left w:val="none" w:sz="0" w:space="0" w:color="auto"/>
        <w:bottom w:val="none" w:sz="0" w:space="0" w:color="auto"/>
        <w:right w:val="none" w:sz="0" w:space="0" w:color="auto"/>
      </w:divBdr>
    </w:div>
    <w:div w:id="706956613">
      <w:bodyDiv w:val="1"/>
      <w:marLeft w:val="0"/>
      <w:marRight w:val="0"/>
      <w:marTop w:val="0"/>
      <w:marBottom w:val="0"/>
      <w:divBdr>
        <w:top w:val="none" w:sz="0" w:space="0" w:color="auto"/>
        <w:left w:val="none" w:sz="0" w:space="0" w:color="auto"/>
        <w:bottom w:val="none" w:sz="0" w:space="0" w:color="auto"/>
        <w:right w:val="none" w:sz="0" w:space="0" w:color="auto"/>
      </w:divBdr>
    </w:div>
    <w:div w:id="788401968">
      <w:bodyDiv w:val="1"/>
      <w:marLeft w:val="0"/>
      <w:marRight w:val="0"/>
      <w:marTop w:val="0"/>
      <w:marBottom w:val="0"/>
      <w:divBdr>
        <w:top w:val="none" w:sz="0" w:space="0" w:color="auto"/>
        <w:left w:val="none" w:sz="0" w:space="0" w:color="auto"/>
        <w:bottom w:val="none" w:sz="0" w:space="0" w:color="auto"/>
        <w:right w:val="none" w:sz="0" w:space="0" w:color="auto"/>
      </w:divBdr>
    </w:div>
    <w:div w:id="1044596673">
      <w:bodyDiv w:val="1"/>
      <w:marLeft w:val="0"/>
      <w:marRight w:val="0"/>
      <w:marTop w:val="0"/>
      <w:marBottom w:val="0"/>
      <w:divBdr>
        <w:top w:val="none" w:sz="0" w:space="0" w:color="auto"/>
        <w:left w:val="none" w:sz="0" w:space="0" w:color="auto"/>
        <w:bottom w:val="none" w:sz="0" w:space="0" w:color="auto"/>
        <w:right w:val="none" w:sz="0" w:space="0" w:color="auto"/>
      </w:divBdr>
    </w:div>
    <w:div w:id="1072194170">
      <w:bodyDiv w:val="1"/>
      <w:marLeft w:val="0"/>
      <w:marRight w:val="0"/>
      <w:marTop w:val="0"/>
      <w:marBottom w:val="0"/>
      <w:divBdr>
        <w:top w:val="none" w:sz="0" w:space="0" w:color="auto"/>
        <w:left w:val="none" w:sz="0" w:space="0" w:color="auto"/>
        <w:bottom w:val="none" w:sz="0" w:space="0" w:color="auto"/>
        <w:right w:val="none" w:sz="0" w:space="0" w:color="auto"/>
      </w:divBdr>
    </w:div>
    <w:div w:id="1768311043">
      <w:bodyDiv w:val="1"/>
      <w:marLeft w:val="0"/>
      <w:marRight w:val="0"/>
      <w:marTop w:val="0"/>
      <w:marBottom w:val="0"/>
      <w:divBdr>
        <w:top w:val="none" w:sz="0" w:space="0" w:color="auto"/>
        <w:left w:val="none" w:sz="0" w:space="0" w:color="auto"/>
        <w:bottom w:val="none" w:sz="0" w:space="0" w:color="auto"/>
        <w:right w:val="none" w:sz="0" w:space="0" w:color="auto"/>
      </w:divBdr>
    </w:div>
    <w:div w:id="1899899612">
      <w:bodyDiv w:val="1"/>
      <w:marLeft w:val="0"/>
      <w:marRight w:val="0"/>
      <w:marTop w:val="0"/>
      <w:marBottom w:val="0"/>
      <w:divBdr>
        <w:top w:val="none" w:sz="0" w:space="0" w:color="auto"/>
        <w:left w:val="none" w:sz="0" w:space="0" w:color="auto"/>
        <w:bottom w:val="none" w:sz="0" w:space="0" w:color="auto"/>
        <w:right w:val="none" w:sz="0" w:space="0" w:color="auto"/>
      </w:divBdr>
    </w:div>
    <w:div w:id="210969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ED57AF8-D41B-4854-A3CA-A491F623E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6289</Characters>
  <Application>Microsoft Office Word</Application>
  <DocSecurity>4</DocSecurity>
  <Lines>52</Lines>
  <Paragraphs>13</Paragraphs>
  <ScaleCrop>false</ScaleCrop>
  <HeadingPairs>
    <vt:vector size="2" baseType="variant">
      <vt:variant>
        <vt:lpstr>Pavadinimas</vt:lpstr>
      </vt:variant>
      <vt:variant>
        <vt:i4>1</vt:i4>
      </vt:variant>
    </vt:vector>
  </HeadingPairs>
  <TitlesOfParts>
    <vt:vector size="1" baseType="lpstr">
      <vt:lpstr> </vt:lpstr>
    </vt:vector>
  </TitlesOfParts>
  <Company>Ukmergės rajono Savivaldybė</Company>
  <LinksUpToDate>false</LinksUpToDate>
  <CharactersWithSpaces>6956</CharactersWithSpaces>
  <SharedDoc>false</SharedDoc>
  <HLinks>
    <vt:vector size="12" baseType="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Darius Paskevicius</dc:creator>
  <cp:keywords/>
  <dc:description/>
  <cp:lastModifiedBy>Asta Mištautė</cp:lastModifiedBy>
  <cp:revision>2</cp:revision>
  <cp:lastPrinted>2021-03-16T11:10:00Z</cp:lastPrinted>
  <dcterms:created xsi:type="dcterms:W3CDTF">2021-04-09T06:04:00Z</dcterms:created>
  <dcterms:modified xsi:type="dcterms:W3CDTF">2021-04-09T06:04:00Z</dcterms:modified>
</cp:coreProperties>
</file>