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02FE" w14:textId="77777777" w:rsidR="00B42153" w:rsidRDefault="00B42153" w:rsidP="001C007F">
      <w:pPr>
        <w:jc w:val="center"/>
        <w:rPr>
          <w:b/>
        </w:rPr>
      </w:pPr>
      <w:r>
        <w:rPr>
          <w:b/>
        </w:rPr>
        <w:t>UKMERGĖS RAJONO SAVIVALDYBĖS TARYBOS</w:t>
      </w:r>
    </w:p>
    <w:p w14:paraId="1FC4A204" w14:textId="77777777" w:rsidR="001C007F" w:rsidRDefault="00B42153" w:rsidP="001C007F">
      <w:pPr>
        <w:jc w:val="center"/>
        <w:rPr>
          <w:b/>
        </w:rPr>
      </w:pPr>
      <w:r>
        <w:rPr>
          <w:b/>
        </w:rPr>
        <w:t>ETIKOS KOMISIJOS</w:t>
      </w:r>
    </w:p>
    <w:p w14:paraId="558841D4" w14:textId="2DE93D29" w:rsidR="00B42153" w:rsidRDefault="00B42153" w:rsidP="001C007F">
      <w:pPr>
        <w:jc w:val="center"/>
        <w:rPr>
          <w:b/>
        </w:rPr>
      </w:pPr>
      <w:r>
        <w:rPr>
          <w:b/>
        </w:rPr>
        <w:t>20</w:t>
      </w:r>
      <w:r w:rsidR="00E837B5">
        <w:rPr>
          <w:b/>
        </w:rPr>
        <w:t>2</w:t>
      </w:r>
      <w:r w:rsidR="00682E20">
        <w:rPr>
          <w:b/>
        </w:rPr>
        <w:t>5</w:t>
      </w:r>
      <w:r>
        <w:rPr>
          <w:b/>
        </w:rPr>
        <w:t xml:space="preserve"> METŲ VEIKLOS ATASKAITA</w:t>
      </w:r>
    </w:p>
    <w:p w14:paraId="2F68396B" w14:textId="4C6F7DC9" w:rsidR="00225704" w:rsidRDefault="00225704" w:rsidP="001C007F">
      <w:pPr>
        <w:jc w:val="center"/>
        <w:rPr>
          <w:b/>
        </w:rPr>
      </w:pPr>
    </w:p>
    <w:p w14:paraId="6C395F89" w14:textId="77777777" w:rsidR="00225704" w:rsidRPr="00044C16" w:rsidRDefault="00225704" w:rsidP="00926158">
      <w:pPr>
        <w:rPr>
          <w:b/>
        </w:rPr>
      </w:pPr>
    </w:p>
    <w:p w14:paraId="437AFA82" w14:textId="1C16260D" w:rsidR="003A0FA3" w:rsidRPr="003A0FA3" w:rsidRDefault="00225704" w:rsidP="003A0FA3">
      <w:pPr>
        <w:ind w:firstLine="1276"/>
        <w:jc w:val="both"/>
      </w:pPr>
      <w:r w:rsidRPr="00225704">
        <w:rPr>
          <w:szCs w:val="24"/>
        </w:rPr>
        <w:t xml:space="preserve">Ukmergės rajono savivaldybės tarybos (toliau – Taryba) </w:t>
      </w:r>
      <w:r w:rsidR="00327ED8">
        <w:rPr>
          <w:szCs w:val="24"/>
        </w:rPr>
        <w:t xml:space="preserve">etikos </w:t>
      </w:r>
      <w:r w:rsidRPr="00A7608A">
        <w:rPr>
          <w:szCs w:val="24"/>
        </w:rPr>
        <w:t>komisija yra nuolatinė komisija</w:t>
      </w:r>
      <w:r w:rsidR="003A0FA3">
        <w:rPr>
          <w:szCs w:val="24"/>
        </w:rPr>
        <w:t xml:space="preserve">, kuri </w:t>
      </w:r>
      <w:r w:rsidR="003A0FA3" w:rsidRPr="003A0FA3">
        <w:t>sudaroma laikantis proporcinio savivaldybės tarybos daugumos ir mažumos atstovavimo principo.</w:t>
      </w:r>
      <w:r w:rsidR="008858B4">
        <w:t xml:space="preserve"> </w:t>
      </w:r>
    </w:p>
    <w:p w14:paraId="093295CA" w14:textId="2BCAF9CD" w:rsidR="00E332DD" w:rsidRPr="00682E20" w:rsidRDefault="00225704" w:rsidP="00682E20">
      <w:pPr>
        <w:ind w:firstLine="1276"/>
        <w:jc w:val="both"/>
        <w:rPr>
          <w:bCs/>
        </w:rPr>
      </w:pPr>
      <w:r w:rsidRPr="00225704">
        <w:rPr>
          <w:bCs/>
        </w:rPr>
        <w:t>Etikos komisij</w:t>
      </w:r>
      <w:r w:rsidR="00327ED8">
        <w:rPr>
          <w:bCs/>
        </w:rPr>
        <w:t>a savo</w:t>
      </w:r>
      <w:r w:rsidRPr="00225704">
        <w:rPr>
          <w:bCs/>
        </w:rPr>
        <w:t xml:space="preserve"> veik</w:t>
      </w:r>
      <w:r w:rsidR="00211094">
        <w:rPr>
          <w:bCs/>
        </w:rPr>
        <w:t>l</w:t>
      </w:r>
      <w:r w:rsidR="00327ED8">
        <w:rPr>
          <w:bCs/>
        </w:rPr>
        <w:t>oje</w:t>
      </w:r>
      <w:r w:rsidRPr="00225704">
        <w:rPr>
          <w:bCs/>
        </w:rPr>
        <w:t xml:space="preserve"> vadovauja</w:t>
      </w:r>
      <w:r w:rsidR="00327ED8">
        <w:rPr>
          <w:bCs/>
        </w:rPr>
        <w:t>si</w:t>
      </w:r>
      <w:r w:rsidRPr="00225704">
        <w:rPr>
          <w:bCs/>
        </w:rPr>
        <w:t xml:space="preserve"> Lietuvos Respublikos Konstitucija, </w:t>
      </w:r>
      <w:r w:rsidR="002548D4">
        <w:rPr>
          <w:bCs/>
        </w:rPr>
        <w:t>Lietuvos Respublikos v</w:t>
      </w:r>
      <w:r w:rsidRPr="00225704">
        <w:rPr>
          <w:bCs/>
        </w:rPr>
        <w:t xml:space="preserve">ietos savivaldos įstatymu, </w:t>
      </w:r>
      <w:r>
        <w:rPr>
          <w:bCs/>
        </w:rPr>
        <w:t xml:space="preserve">Lietuvos Respublikos viešųjų ir privačių interesų derinimo valstybinėje tarnyboje įstatymu, Lietuvos </w:t>
      </w:r>
      <w:r w:rsidR="00327ED8">
        <w:rPr>
          <w:bCs/>
        </w:rPr>
        <w:t>R</w:t>
      </w:r>
      <w:r>
        <w:rPr>
          <w:bCs/>
        </w:rPr>
        <w:t>espublikos valstybės politikų elgesio kodeksu</w:t>
      </w:r>
      <w:r w:rsidRPr="00225704">
        <w:rPr>
          <w:bCs/>
        </w:rPr>
        <w:t>, Tarybos veiklos reglamentu ir Etikos komisijos nuostatais.</w:t>
      </w:r>
    </w:p>
    <w:p w14:paraId="32AB86A5" w14:textId="65289B50" w:rsidR="00E837B5" w:rsidRPr="00682E20" w:rsidRDefault="00E332DD" w:rsidP="00E332DD">
      <w:pPr>
        <w:ind w:firstLine="1276"/>
        <w:jc w:val="both"/>
        <w:rPr>
          <w:bCs/>
        </w:rPr>
      </w:pPr>
      <w:r w:rsidRPr="00682E20">
        <w:rPr>
          <w:bCs/>
        </w:rPr>
        <w:t>2023–2027 m. Tarybos kadencijos Etikos komisijos sudėtis patvirtinta</w:t>
      </w:r>
      <w:r w:rsidR="00B72776" w:rsidRPr="00682E20">
        <w:rPr>
          <w:bCs/>
          <w:szCs w:val="24"/>
          <w:lang w:eastAsia="lt-LT"/>
        </w:rPr>
        <w:t xml:space="preserve"> </w:t>
      </w:r>
      <w:r w:rsidR="00B72776" w:rsidRPr="00682E20">
        <w:rPr>
          <w:bCs/>
          <w:lang w:eastAsia="lt-LT"/>
        </w:rPr>
        <w:t>20</w:t>
      </w:r>
      <w:r w:rsidR="003A0FA3" w:rsidRPr="00682E20">
        <w:rPr>
          <w:bCs/>
          <w:lang w:eastAsia="lt-LT"/>
        </w:rPr>
        <w:t>23</w:t>
      </w:r>
      <w:r w:rsidR="00B72776" w:rsidRPr="00682E20">
        <w:rPr>
          <w:bCs/>
          <w:lang w:eastAsia="lt-LT"/>
        </w:rPr>
        <w:t xml:space="preserve"> m. </w:t>
      </w:r>
      <w:r w:rsidR="003A0FA3" w:rsidRPr="00682E20">
        <w:rPr>
          <w:bCs/>
          <w:lang w:eastAsia="lt-LT"/>
        </w:rPr>
        <w:t>gegužės</w:t>
      </w:r>
      <w:r w:rsidR="00B72776" w:rsidRPr="00682E20">
        <w:rPr>
          <w:bCs/>
          <w:lang w:eastAsia="lt-LT"/>
        </w:rPr>
        <w:t xml:space="preserve"> 2</w:t>
      </w:r>
      <w:r w:rsidR="003A0FA3" w:rsidRPr="00682E20">
        <w:rPr>
          <w:bCs/>
          <w:lang w:eastAsia="lt-LT"/>
        </w:rPr>
        <w:t>5</w:t>
      </w:r>
      <w:r w:rsidR="00B72776" w:rsidRPr="00682E20">
        <w:rPr>
          <w:bCs/>
          <w:lang w:eastAsia="lt-LT"/>
        </w:rPr>
        <w:t xml:space="preserve"> d. Tarybos sprendimu Nr. 7-</w:t>
      </w:r>
      <w:r w:rsidR="003A0FA3" w:rsidRPr="00682E20">
        <w:rPr>
          <w:bCs/>
          <w:lang w:eastAsia="lt-LT"/>
        </w:rPr>
        <w:t>42</w:t>
      </w:r>
      <w:r w:rsidR="00B72776" w:rsidRPr="00682E20">
        <w:rPr>
          <w:bCs/>
          <w:lang w:eastAsia="lt-LT"/>
        </w:rPr>
        <w:t>.</w:t>
      </w:r>
      <w:r w:rsidR="00E837B5" w:rsidRPr="00682E20">
        <w:rPr>
          <w:bCs/>
          <w:szCs w:val="24"/>
        </w:rPr>
        <w:t xml:space="preserve"> </w:t>
      </w:r>
    </w:p>
    <w:p w14:paraId="0DC36B0E" w14:textId="77777777" w:rsidR="00A74617" w:rsidRDefault="00A74617" w:rsidP="00A74617">
      <w:pPr>
        <w:rPr>
          <w:b/>
          <w:lang w:eastAsia="lt-LT"/>
        </w:rPr>
      </w:pPr>
    </w:p>
    <w:p w14:paraId="176179AC" w14:textId="78591D3B" w:rsidR="006A3E3F" w:rsidRDefault="006A3E3F" w:rsidP="00A74617">
      <w:pPr>
        <w:jc w:val="center"/>
        <w:rPr>
          <w:b/>
          <w:lang w:eastAsia="lt-LT"/>
        </w:rPr>
      </w:pPr>
      <w:r w:rsidRPr="003A5ABA">
        <w:rPr>
          <w:b/>
          <w:lang w:eastAsia="lt-LT"/>
        </w:rPr>
        <w:t>Etikos komisijos sudėtis</w:t>
      </w:r>
    </w:p>
    <w:p w14:paraId="2108D644" w14:textId="77777777" w:rsidR="00682E20" w:rsidRPr="003A5ABA" w:rsidRDefault="00682E20" w:rsidP="00682E20">
      <w:pPr>
        <w:ind w:firstLine="1276"/>
        <w:jc w:val="center"/>
        <w:rPr>
          <w:b/>
          <w:lang w:eastAsia="lt-LT"/>
        </w:rPr>
      </w:pPr>
    </w:p>
    <w:p w14:paraId="15DB051D" w14:textId="1040A95C" w:rsidR="001B3E35" w:rsidRDefault="001B3E35" w:rsidP="006A3E3F">
      <w:pPr>
        <w:ind w:firstLine="1276"/>
        <w:jc w:val="both"/>
        <w:rPr>
          <w:noProof/>
          <w:lang w:eastAsia="lt-LT"/>
        </w:rPr>
      </w:pPr>
      <w:r w:rsidRPr="0029388B">
        <w:rPr>
          <w:b/>
          <w:bCs/>
          <w:noProof/>
          <w:lang w:eastAsia="lt-LT"/>
        </w:rPr>
        <w:t>Pirmin</w:t>
      </w:r>
      <w:r w:rsidR="006536BA">
        <w:rPr>
          <w:b/>
          <w:bCs/>
          <w:noProof/>
          <w:lang w:eastAsia="lt-LT"/>
        </w:rPr>
        <w:t>in</w:t>
      </w:r>
      <w:r w:rsidRPr="0029388B">
        <w:rPr>
          <w:b/>
          <w:bCs/>
          <w:noProof/>
          <w:lang w:eastAsia="lt-LT"/>
        </w:rPr>
        <w:t>kas – Giedrius Auglys</w:t>
      </w:r>
      <w:r>
        <w:rPr>
          <w:noProof/>
          <w:lang w:eastAsia="lt-LT"/>
        </w:rPr>
        <w:t xml:space="preserve">, </w:t>
      </w:r>
      <w:r w:rsidRPr="001B3E35">
        <w:rPr>
          <w:noProof/>
          <w:lang w:eastAsia="lt-LT"/>
        </w:rPr>
        <w:t>Tėvynės sąjungos-Lietuvos krikščionių demokratų partijos frakcijos deleguota</w:t>
      </w:r>
      <w:r w:rsidR="00197272">
        <w:rPr>
          <w:noProof/>
          <w:lang w:eastAsia="lt-LT"/>
        </w:rPr>
        <w:t>s</w:t>
      </w:r>
      <w:r w:rsidRPr="001B3E35">
        <w:rPr>
          <w:noProof/>
          <w:lang w:eastAsia="lt-LT"/>
        </w:rPr>
        <w:t xml:space="preserve"> atstov</w:t>
      </w:r>
      <w:r>
        <w:rPr>
          <w:noProof/>
          <w:lang w:eastAsia="lt-LT"/>
        </w:rPr>
        <w:t>as.</w:t>
      </w:r>
    </w:p>
    <w:p w14:paraId="2285D421" w14:textId="191A8F9B" w:rsidR="00B72776" w:rsidRDefault="00B72776" w:rsidP="006A3E3F">
      <w:pPr>
        <w:ind w:firstLine="1276"/>
        <w:jc w:val="both"/>
        <w:rPr>
          <w:lang w:eastAsia="lt-LT"/>
        </w:rPr>
      </w:pPr>
      <w:r w:rsidRPr="0029388B">
        <w:rPr>
          <w:b/>
          <w:bCs/>
          <w:lang w:eastAsia="lt-LT"/>
        </w:rPr>
        <w:t xml:space="preserve">Pavaduotoja – </w:t>
      </w:r>
      <w:r w:rsidR="003A0FA3" w:rsidRPr="0029388B">
        <w:rPr>
          <w:b/>
          <w:bCs/>
          <w:lang w:eastAsia="lt-LT"/>
        </w:rPr>
        <w:t>Irma Vaitaitienė</w:t>
      </w:r>
      <w:r w:rsidR="00904D02">
        <w:rPr>
          <w:lang w:eastAsia="lt-LT"/>
        </w:rPr>
        <w:t xml:space="preserve">, </w:t>
      </w:r>
      <w:r w:rsidR="001B3E35" w:rsidRPr="001B3E35">
        <w:rPr>
          <w:lang w:eastAsia="lt-LT"/>
        </w:rPr>
        <w:t>Demokratų sąjungos „Vardan Lietuvos“ frakcijos deleguota atstov</w:t>
      </w:r>
      <w:r w:rsidR="001B3E35">
        <w:rPr>
          <w:lang w:eastAsia="lt-LT"/>
        </w:rPr>
        <w:t>ė</w:t>
      </w:r>
      <w:r w:rsidR="00ED70B2">
        <w:rPr>
          <w:lang w:eastAsia="lt-LT"/>
        </w:rPr>
        <w:t>.</w:t>
      </w:r>
      <w:r w:rsidR="00E837B5" w:rsidRPr="00E837B5">
        <w:rPr>
          <w:noProof/>
          <w:lang w:eastAsia="lt-LT"/>
        </w:rPr>
        <w:t xml:space="preserve"> </w:t>
      </w:r>
    </w:p>
    <w:p w14:paraId="0327C424" w14:textId="5D0B191C" w:rsidR="00B72776" w:rsidRPr="006A3E3F" w:rsidRDefault="00B72776" w:rsidP="006A3E3F">
      <w:pPr>
        <w:ind w:firstLine="1276"/>
        <w:jc w:val="both"/>
        <w:rPr>
          <w:lang w:eastAsia="lt-LT"/>
        </w:rPr>
      </w:pPr>
      <w:r w:rsidRPr="006A3E3F">
        <w:rPr>
          <w:lang w:eastAsia="lt-LT"/>
        </w:rPr>
        <w:t>Nariai:</w:t>
      </w:r>
    </w:p>
    <w:p w14:paraId="4D21B4B0" w14:textId="62BDB2E6" w:rsidR="001F5AE5" w:rsidRDefault="003A0FA3" w:rsidP="006A3E3F">
      <w:pPr>
        <w:ind w:firstLine="1276"/>
        <w:jc w:val="both"/>
        <w:rPr>
          <w:lang w:eastAsia="lt-LT"/>
        </w:rPr>
      </w:pPr>
      <w:r w:rsidRPr="0029388B">
        <w:rPr>
          <w:b/>
          <w:bCs/>
          <w:lang w:eastAsia="lt-LT"/>
        </w:rPr>
        <w:t>Rolandas Janickas,</w:t>
      </w:r>
      <w:r w:rsidR="009C5F40" w:rsidRPr="0029388B">
        <w:rPr>
          <w:b/>
          <w:bCs/>
          <w:lang w:eastAsia="lt-LT"/>
        </w:rPr>
        <w:t xml:space="preserve"> </w:t>
      </w:r>
      <w:r w:rsidR="001B3E35" w:rsidRPr="001B3E35">
        <w:rPr>
          <w:lang w:eastAsia="lt-LT"/>
        </w:rPr>
        <w:t>Darbo partijos frakcijos deleguotas atstovas</w:t>
      </w:r>
      <w:r>
        <w:rPr>
          <w:lang w:eastAsia="lt-LT"/>
        </w:rPr>
        <w:t>;</w:t>
      </w:r>
    </w:p>
    <w:p w14:paraId="01B4F3AD" w14:textId="33F91086" w:rsidR="006B22EF" w:rsidRDefault="006B22EF" w:rsidP="006A3E3F">
      <w:pPr>
        <w:ind w:firstLine="1276"/>
        <w:jc w:val="both"/>
        <w:rPr>
          <w:color w:val="000000"/>
        </w:rPr>
      </w:pPr>
      <w:r w:rsidRPr="0029388B">
        <w:rPr>
          <w:b/>
          <w:bCs/>
          <w:color w:val="000000"/>
        </w:rPr>
        <w:t>Valdas Petronis,</w:t>
      </w:r>
      <w:r w:rsidRPr="006B22EF">
        <w:rPr>
          <w:color w:val="000000"/>
        </w:rPr>
        <w:t xml:space="preserve"> </w:t>
      </w:r>
      <w:r w:rsidRPr="001B3E35">
        <w:rPr>
          <w:color w:val="000000"/>
        </w:rPr>
        <w:t>Lietuvos socialdemokratų partijos frakcijos deleguota</w:t>
      </w:r>
      <w:r>
        <w:rPr>
          <w:color w:val="000000"/>
        </w:rPr>
        <w:t>s</w:t>
      </w:r>
      <w:r w:rsidRPr="001B3E35">
        <w:rPr>
          <w:color w:val="000000"/>
        </w:rPr>
        <w:t xml:space="preserve"> atstov</w:t>
      </w:r>
      <w:r>
        <w:rPr>
          <w:color w:val="000000"/>
        </w:rPr>
        <w:t>as</w:t>
      </w:r>
      <w:r w:rsidR="007B05E2">
        <w:rPr>
          <w:color w:val="000000"/>
        </w:rPr>
        <w:t>;</w:t>
      </w:r>
    </w:p>
    <w:p w14:paraId="3A34CDF3" w14:textId="5E1B1B7B" w:rsidR="003A0FA3" w:rsidRDefault="003A0FA3" w:rsidP="006A3E3F">
      <w:pPr>
        <w:ind w:firstLine="1276"/>
        <w:jc w:val="both"/>
        <w:rPr>
          <w:color w:val="000000"/>
        </w:rPr>
      </w:pPr>
      <w:r w:rsidRPr="0029388B">
        <w:rPr>
          <w:b/>
          <w:bCs/>
          <w:color w:val="000000"/>
        </w:rPr>
        <w:t>Danutė Užkurėlytė</w:t>
      </w:r>
      <w:r>
        <w:rPr>
          <w:color w:val="000000"/>
        </w:rPr>
        <w:t xml:space="preserve">, </w:t>
      </w:r>
      <w:r w:rsidR="001B3E35" w:rsidRPr="001B3E35">
        <w:rPr>
          <w:color w:val="000000"/>
        </w:rPr>
        <w:t>Lietuvos valstiečių ir žaliųjų sąjungos frakcijos deleguota atstovė</w:t>
      </w:r>
      <w:r>
        <w:rPr>
          <w:color w:val="000000"/>
        </w:rPr>
        <w:t>;</w:t>
      </w:r>
    </w:p>
    <w:p w14:paraId="39962A47" w14:textId="6B10A8FF" w:rsidR="00345EFD" w:rsidRDefault="003A0FA3" w:rsidP="00682E20">
      <w:pPr>
        <w:ind w:firstLine="1276"/>
        <w:jc w:val="both"/>
        <w:rPr>
          <w:color w:val="000000"/>
        </w:rPr>
      </w:pPr>
      <w:r w:rsidRPr="0029388B">
        <w:rPr>
          <w:b/>
          <w:bCs/>
          <w:color w:val="000000"/>
        </w:rPr>
        <w:t>Arnoldas Vilčinskas</w:t>
      </w:r>
      <w:r>
        <w:rPr>
          <w:color w:val="000000"/>
        </w:rPr>
        <w:t xml:space="preserve">, </w:t>
      </w:r>
      <w:r w:rsidR="001B3E35" w:rsidRPr="001B3E35">
        <w:rPr>
          <w:color w:val="000000"/>
        </w:rPr>
        <w:t>Demokratų sąjungos „Vardan Lietuvos“ frakcijos deleguotas atstovas</w:t>
      </w:r>
      <w:r>
        <w:rPr>
          <w:color w:val="000000"/>
        </w:rPr>
        <w:t>.</w:t>
      </w:r>
    </w:p>
    <w:p w14:paraId="46F97D1E" w14:textId="77777777" w:rsidR="00682E20" w:rsidRPr="00682E20" w:rsidRDefault="00682E20" w:rsidP="00682E20">
      <w:pPr>
        <w:ind w:firstLine="1276"/>
        <w:jc w:val="both"/>
        <w:rPr>
          <w:color w:val="000000"/>
        </w:rPr>
      </w:pPr>
    </w:p>
    <w:p w14:paraId="12AC3E4E" w14:textId="3428448F" w:rsidR="006B22EF" w:rsidRPr="00370995" w:rsidRDefault="006B22EF" w:rsidP="00682E20">
      <w:pPr>
        <w:pStyle w:val="prastasiniatinklio"/>
        <w:jc w:val="center"/>
      </w:pPr>
      <w:r>
        <w:rPr>
          <w:noProof/>
        </w:rPr>
        <w:drawing>
          <wp:inline distT="0" distB="0" distL="0" distR="0" wp14:anchorId="730D9B6F" wp14:editId="67DC1DB1">
            <wp:extent cx="5391150" cy="2743506"/>
            <wp:effectExtent l="133350" t="114300" r="152400" b="17145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6049" cy="27663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9E833" w14:textId="77777777" w:rsidR="0029388B" w:rsidRDefault="0029388B" w:rsidP="008C523B">
      <w:pPr>
        <w:jc w:val="both"/>
        <w:rPr>
          <w:color w:val="000000"/>
        </w:rPr>
      </w:pPr>
    </w:p>
    <w:p w14:paraId="2798F479" w14:textId="6D6D2B1B" w:rsidR="00EA4521" w:rsidRDefault="007C7430" w:rsidP="001C007F">
      <w:pPr>
        <w:ind w:firstLine="1276"/>
        <w:jc w:val="both"/>
      </w:pPr>
      <w:r>
        <w:rPr>
          <w:color w:val="000000"/>
        </w:rPr>
        <w:t>Etikos komisijos posėdžių metu s</w:t>
      </w:r>
      <w:r w:rsidR="00EA4521">
        <w:rPr>
          <w:color w:val="000000"/>
        </w:rPr>
        <w:t xml:space="preserve">varstyti klausimai dėl </w:t>
      </w:r>
      <w:r w:rsidR="00EA4521">
        <w:t xml:space="preserve">Tarybos narių </w:t>
      </w:r>
      <w:r w:rsidR="00EA4521">
        <w:rPr>
          <w:color w:val="000000"/>
        </w:rPr>
        <w:t>posėdžių lankomumo;</w:t>
      </w:r>
      <w:r w:rsidR="00EF7982">
        <w:rPr>
          <w:color w:val="000000"/>
        </w:rPr>
        <w:t xml:space="preserve"> nagrinėti klausimai dėl tarybos narių veiklos ir elgesio</w:t>
      </w:r>
      <w:r w:rsidR="00EF7982">
        <w:t xml:space="preserve">, </w:t>
      </w:r>
      <w:r w:rsidR="003C7EF9">
        <w:t>kiti Etikos komisijos kompetencijai priskirti klausimai.</w:t>
      </w:r>
      <w:r w:rsidR="00EA4521">
        <w:t xml:space="preserve"> </w:t>
      </w:r>
    </w:p>
    <w:p w14:paraId="5C5D7953" w14:textId="77777777" w:rsidR="0033435A" w:rsidRDefault="0033435A" w:rsidP="001C007F">
      <w:pPr>
        <w:ind w:firstLine="1276"/>
        <w:jc w:val="both"/>
      </w:pPr>
    </w:p>
    <w:p w14:paraId="04C622A5" w14:textId="48AE0242" w:rsidR="00A74617" w:rsidRPr="00C626FA" w:rsidRDefault="00A74617" w:rsidP="00D95D32">
      <w:pPr>
        <w:ind w:firstLine="1276"/>
        <w:jc w:val="center"/>
        <w:rPr>
          <w:b/>
          <w:bCs/>
          <w:szCs w:val="24"/>
        </w:rPr>
      </w:pPr>
      <w:r w:rsidRPr="00C626FA">
        <w:rPr>
          <w:b/>
          <w:bCs/>
          <w:szCs w:val="24"/>
        </w:rPr>
        <w:lastRenderedPageBreak/>
        <w:t xml:space="preserve">Teisės aktų pakeitimai susiję su </w:t>
      </w:r>
      <w:r>
        <w:rPr>
          <w:b/>
          <w:bCs/>
          <w:szCs w:val="24"/>
        </w:rPr>
        <w:t>Etikos</w:t>
      </w:r>
      <w:r w:rsidRPr="00C626FA">
        <w:rPr>
          <w:b/>
          <w:bCs/>
          <w:szCs w:val="24"/>
        </w:rPr>
        <w:t xml:space="preserve"> komisijos veikla</w:t>
      </w:r>
    </w:p>
    <w:p w14:paraId="46855978" w14:textId="77777777" w:rsidR="00A74617" w:rsidRDefault="00A74617" w:rsidP="001C007F">
      <w:pPr>
        <w:ind w:firstLine="1276"/>
        <w:jc w:val="both"/>
      </w:pPr>
    </w:p>
    <w:p w14:paraId="0873F36E" w14:textId="6FA6D4F7" w:rsidR="00CB461F" w:rsidRPr="00D67902" w:rsidRDefault="00A74617" w:rsidP="00CB461F">
      <w:pPr>
        <w:ind w:firstLine="1276"/>
        <w:jc w:val="both"/>
      </w:pPr>
      <w:r>
        <w:t>2025 m. gegužės 29 d. Savivaldybės tarybos sprendim</w:t>
      </w:r>
      <w:r w:rsidR="00211094">
        <w:t>u</w:t>
      </w:r>
      <w:r>
        <w:t xml:space="preserve"> Nr. 7-125 „Dėl Ukmergės rajono savivaldybės tarybos 2023 m. birželio 29 d. sprendimo Nr. 7-77 „Dėl Ukmergės rajono savivaldybės tarybos Etikos komisijos pirmininko pavaduotojo paskyrimo ir nuostatų patvirtinimo“ pakeitimo“ </w:t>
      </w:r>
      <w:r w:rsidR="00CB461F">
        <w:t>pakeistas 18 punktas „</w:t>
      </w:r>
      <w:r w:rsidR="00CB461F" w:rsidRPr="003E69C1">
        <w:t>Komisija svarstomais klausimais priima sprendimus ar kitus dokumentus. Sprendimai ar kiti dokumentai priimami posėdyje dalyvaujančių Komisijos narių balsų dauguma. Jeigu balsai pasiskirsto po lygiai (laikoma, kad balsai pasiskirstė po lygiai tada, kai balsų „už“ gauta tiek pat, kiek „prieš</w:t>
      </w:r>
      <w:r w:rsidR="00CB461F" w:rsidRPr="005A3A93">
        <w:t>“</w:t>
      </w:r>
      <w:r w:rsidR="00CB461F" w:rsidRPr="005A3A93">
        <w:rPr>
          <w:rFonts w:eastAsia="Calibri"/>
          <w:kern w:val="2"/>
        </w:rPr>
        <w:t>, taip pat kai balsų „už“ gauta tiek pat, kiek „prieš“</w:t>
      </w:r>
      <w:r w:rsidR="00CB461F" w:rsidRPr="003E69C1">
        <w:t xml:space="preserve"> ir „susilaikiusių“ kartu sudėjus), balsuojama dar kartą. Prieš balsuojant dar kartą, gali būti skelbiama pertrauka. Jeigu balsavus dar kartą balsai pasiskirto po </w:t>
      </w:r>
      <w:r w:rsidR="00CB461F" w:rsidRPr="008E412A">
        <w:t xml:space="preserve">lygiai, balsuojama trečią kartą. Prieš balsuojant trečią kartą, gali būti skelbiama pertrauka. Jeigu balsavus trečią kartą balsai pasiskirto po lygiai, laikoma, </w:t>
      </w:r>
      <w:r w:rsidR="00CB461F" w:rsidRPr="003E69C1">
        <w:t>kad sprendimas nepriimtas.</w:t>
      </w:r>
      <w:r w:rsidR="00CB461F" w:rsidRPr="00F86184">
        <w:t>“</w:t>
      </w:r>
    </w:p>
    <w:p w14:paraId="2B1EF07A" w14:textId="7DE6E8B6" w:rsidR="00A74617" w:rsidRDefault="00CB461F" w:rsidP="00A74617">
      <w:pPr>
        <w:jc w:val="both"/>
      </w:pPr>
      <w:r>
        <w:tab/>
      </w:r>
    </w:p>
    <w:p w14:paraId="51FAD957" w14:textId="77777777" w:rsidR="00A74617" w:rsidRDefault="00A74617" w:rsidP="001C007F">
      <w:pPr>
        <w:ind w:firstLine="1276"/>
        <w:jc w:val="both"/>
      </w:pPr>
    </w:p>
    <w:p w14:paraId="1BFBBD07" w14:textId="1D4A5BBC" w:rsidR="001C007F" w:rsidRDefault="00A56156" w:rsidP="00D95D32">
      <w:pPr>
        <w:jc w:val="center"/>
      </w:pPr>
      <w:r w:rsidRPr="00686F17">
        <w:rPr>
          <w:b/>
          <w:bCs/>
        </w:rPr>
        <w:t>202</w:t>
      </w:r>
      <w:r w:rsidR="00A74617">
        <w:rPr>
          <w:b/>
          <w:bCs/>
        </w:rPr>
        <w:t>5</w:t>
      </w:r>
      <w:r w:rsidRPr="00686F17">
        <w:rPr>
          <w:b/>
          <w:bCs/>
        </w:rPr>
        <w:t xml:space="preserve"> metai</w:t>
      </w:r>
      <w:r w:rsidR="006B22EF" w:rsidRPr="00686F17">
        <w:rPr>
          <w:b/>
          <w:bCs/>
        </w:rPr>
        <w:t>s</w:t>
      </w:r>
      <w:r w:rsidRPr="00686F17">
        <w:rPr>
          <w:b/>
          <w:bCs/>
        </w:rPr>
        <w:t xml:space="preserve"> vyko </w:t>
      </w:r>
      <w:r w:rsidR="00A74617">
        <w:rPr>
          <w:b/>
          <w:bCs/>
        </w:rPr>
        <w:t xml:space="preserve">6 </w:t>
      </w:r>
      <w:r w:rsidRPr="00686F17">
        <w:rPr>
          <w:b/>
          <w:bCs/>
        </w:rPr>
        <w:t>Etikos komisijos posėdži</w:t>
      </w:r>
      <w:r w:rsidR="00D95D32">
        <w:rPr>
          <w:b/>
          <w:bCs/>
        </w:rPr>
        <w:t>ai</w:t>
      </w:r>
      <w:r w:rsidRPr="00686F17">
        <w:rPr>
          <w:b/>
          <w:bCs/>
        </w:rPr>
        <w:t>.</w:t>
      </w:r>
    </w:p>
    <w:p w14:paraId="38839BB3" w14:textId="77777777" w:rsidR="00EF7982" w:rsidRDefault="00EF7982" w:rsidP="00EA4521"/>
    <w:p w14:paraId="091A0E60" w14:textId="77777777" w:rsidR="00EF7982" w:rsidRPr="00044C16" w:rsidRDefault="00EF7982" w:rsidP="00EA4521"/>
    <w:tbl>
      <w:tblPr>
        <w:tblW w:w="51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2269"/>
        <w:gridCol w:w="3403"/>
        <w:gridCol w:w="2822"/>
      </w:tblGrid>
      <w:tr w:rsidR="00C84CA5" w:rsidRPr="00607776" w14:paraId="133EFCA8" w14:textId="77777777" w:rsidTr="006B22EF">
        <w:trPr>
          <w:trHeight w:val="556"/>
        </w:trPr>
        <w:tc>
          <w:tcPr>
            <w:tcW w:w="699" w:type="pct"/>
            <w:shd w:val="clear" w:color="auto" w:fill="B6DDE8" w:themeFill="accent5" w:themeFillTint="66"/>
          </w:tcPr>
          <w:p w14:paraId="238F7ADB" w14:textId="77777777" w:rsidR="002207CE" w:rsidRPr="003D7C65" w:rsidRDefault="002207CE" w:rsidP="003D71F7">
            <w:pPr>
              <w:jc w:val="center"/>
              <w:rPr>
                <w:b/>
                <w:szCs w:val="24"/>
              </w:rPr>
            </w:pPr>
            <w:r w:rsidRPr="003D7C65">
              <w:rPr>
                <w:b/>
                <w:szCs w:val="24"/>
              </w:rPr>
              <w:t>Posėdžio data, protokolo Nr.</w:t>
            </w:r>
          </w:p>
        </w:tc>
        <w:tc>
          <w:tcPr>
            <w:tcW w:w="1149" w:type="pct"/>
            <w:shd w:val="clear" w:color="auto" w:fill="B6DDE8" w:themeFill="accent5" w:themeFillTint="66"/>
          </w:tcPr>
          <w:p w14:paraId="5268D7B5" w14:textId="77777777" w:rsidR="002207CE" w:rsidRPr="00607776" w:rsidRDefault="002207CE" w:rsidP="003D71F7">
            <w:pPr>
              <w:rPr>
                <w:b/>
                <w:szCs w:val="24"/>
              </w:rPr>
            </w:pPr>
          </w:p>
          <w:p w14:paraId="1B2824C8" w14:textId="77777777" w:rsidR="002207CE" w:rsidRPr="00607776" w:rsidRDefault="002207CE" w:rsidP="003D71F7">
            <w:pPr>
              <w:jc w:val="center"/>
              <w:rPr>
                <w:b/>
                <w:szCs w:val="24"/>
              </w:rPr>
            </w:pPr>
            <w:r w:rsidRPr="00607776">
              <w:rPr>
                <w:b/>
                <w:szCs w:val="24"/>
              </w:rPr>
              <w:t>Svarstyti klausimai</w:t>
            </w:r>
          </w:p>
        </w:tc>
        <w:tc>
          <w:tcPr>
            <w:tcW w:w="1723" w:type="pct"/>
            <w:shd w:val="clear" w:color="auto" w:fill="B6DDE8" w:themeFill="accent5" w:themeFillTint="66"/>
          </w:tcPr>
          <w:p w14:paraId="6E17C0F4" w14:textId="77777777" w:rsidR="002207CE" w:rsidRPr="00607776" w:rsidRDefault="002207CE" w:rsidP="003D71F7">
            <w:pPr>
              <w:rPr>
                <w:b/>
                <w:szCs w:val="24"/>
              </w:rPr>
            </w:pPr>
          </w:p>
          <w:p w14:paraId="2052489A" w14:textId="77777777" w:rsidR="002207CE" w:rsidRPr="00607776" w:rsidRDefault="002207CE" w:rsidP="003D71F7">
            <w:pPr>
              <w:jc w:val="center"/>
              <w:rPr>
                <w:b/>
                <w:szCs w:val="24"/>
              </w:rPr>
            </w:pPr>
            <w:r w:rsidRPr="00607776">
              <w:rPr>
                <w:b/>
                <w:szCs w:val="24"/>
              </w:rPr>
              <w:t>Priimti sprendimai/teiktos rekomendacijos</w:t>
            </w:r>
          </w:p>
        </w:tc>
        <w:tc>
          <w:tcPr>
            <w:tcW w:w="1429" w:type="pct"/>
            <w:shd w:val="clear" w:color="auto" w:fill="B6DDE8" w:themeFill="accent5" w:themeFillTint="66"/>
          </w:tcPr>
          <w:p w14:paraId="0FB80E72" w14:textId="77777777" w:rsidR="002207CE" w:rsidRPr="00607776" w:rsidRDefault="002207CE" w:rsidP="002207CE">
            <w:pPr>
              <w:jc w:val="center"/>
              <w:rPr>
                <w:b/>
                <w:szCs w:val="24"/>
              </w:rPr>
            </w:pPr>
          </w:p>
          <w:p w14:paraId="230EDE5E" w14:textId="77777777" w:rsidR="002207CE" w:rsidRPr="00607776" w:rsidRDefault="002207CE" w:rsidP="002207CE">
            <w:pPr>
              <w:jc w:val="center"/>
              <w:rPr>
                <w:b/>
                <w:szCs w:val="24"/>
              </w:rPr>
            </w:pPr>
            <w:r w:rsidRPr="00607776">
              <w:rPr>
                <w:b/>
                <w:szCs w:val="24"/>
              </w:rPr>
              <w:t>Sprendimų/</w:t>
            </w:r>
          </w:p>
          <w:p w14:paraId="0C758369" w14:textId="77777777" w:rsidR="002207CE" w:rsidRPr="00607776" w:rsidRDefault="002207CE" w:rsidP="002207CE">
            <w:pPr>
              <w:jc w:val="center"/>
              <w:rPr>
                <w:b/>
                <w:szCs w:val="24"/>
              </w:rPr>
            </w:pPr>
            <w:r w:rsidRPr="00607776">
              <w:rPr>
                <w:b/>
                <w:szCs w:val="24"/>
              </w:rPr>
              <w:t>rekomendacijų vykdymas</w:t>
            </w:r>
          </w:p>
        </w:tc>
      </w:tr>
      <w:tr w:rsidR="00890448" w:rsidRPr="00607776" w14:paraId="4E990245" w14:textId="77777777" w:rsidTr="006B22EF">
        <w:trPr>
          <w:trHeight w:val="633"/>
        </w:trPr>
        <w:tc>
          <w:tcPr>
            <w:tcW w:w="699" w:type="pct"/>
            <w:vMerge w:val="restart"/>
            <w:shd w:val="clear" w:color="auto" w:fill="B6DDE8" w:themeFill="accent5" w:themeFillTint="66"/>
          </w:tcPr>
          <w:p w14:paraId="0A0938E1" w14:textId="1D0FC74F" w:rsidR="00890448" w:rsidRPr="006B22EF" w:rsidRDefault="006C1274" w:rsidP="001E3065">
            <w:pPr>
              <w:jc w:val="center"/>
              <w:rPr>
                <w:b/>
                <w:szCs w:val="24"/>
              </w:rPr>
            </w:pPr>
            <w:r>
              <w:rPr>
                <w:b/>
                <w:szCs w:val="24"/>
              </w:rPr>
              <w:t>202</w:t>
            </w:r>
            <w:r w:rsidR="00CB461F">
              <w:rPr>
                <w:b/>
                <w:szCs w:val="24"/>
              </w:rPr>
              <w:t>5</w:t>
            </w:r>
            <w:r>
              <w:rPr>
                <w:b/>
                <w:szCs w:val="24"/>
              </w:rPr>
              <w:t>-01-</w:t>
            </w:r>
            <w:r w:rsidR="00CB461F">
              <w:rPr>
                <w:b/>
                <w:szCs w:val="24"/>
              </w:rPr>
              <w:t>28</w:t>
            </w:r>
          </w:p>
          <w:p w14:paraId="4CF67FC7" w14:textId="4477C4F9" w:rsidR="00890448" w:rsidRPr="006B22EF" w:rsidRDefault="00890448" w:rsidP="001E3065">
            <w:pPr>
              <w:jc w:val="center"/>
              <w:rPr>
                <w:b/>
                <w:szCs w:val="24"/>
              </w:rPr>
            </w:pPr>
            <w:r w:rsidRPr="006B22EF">
              <w:rPr>
                <w:b/>
                <w:szCs w:val="24"/>
              </w:rPr>
              <w:t>Nr. 25-1</w:t>
            </w:r>
          </w:p>
        </w:tc>
        <w:tc>
          <w:tcPr>
            <w:tcW w:w="1149" w:type="pct"/>
          </w:tcPr>
          <w:p w14:paraId="2790E4F0" w14:textId="286884E8" w:rsidR="00890448" w:rsidRPr="00890448" w:rsidRDefault="006C1274" w:rsidP="00452231">
            <w:pPr>
              <w:rPr>
                <w:szCs w:val="24"/>
              </w:rPr>
            </w:pPr>
            <w:r w:rsidRPr="006C1274">
              <w:rPr>
                <w:szCs w:val="24"/>
              </w:rPr>
              <w:t>Dėl Tarybos narių posėdžių lankomumo.</w:t>
            </w:r>
          </w:p>
        </w:tc>
        <w:tc>
          <w:tcPr>
            <w:tcW w:w="1723" w:type="pct"/>
          </w:tcPr>
          <w:p w14:paraId="788CBBF5" w14:textId="77777777" w:rsidR="00890448" w:rsidRDefault="006C1274" w:rsidP="00890448">
            <w:pPr>
              <w:rPr>
                <w:szCs w:val="24"/>
              </w:rPr>
            </w:pPr>
            <w:r w:rsidRPr="00451F30">
              <w:rPr>
                <w:szCs w:val="24"/>
              </w:rPr>
              <w:t>Išklausyta informacija</w:t>
            </w:r>
            <w:r>
              <w:rPr>
                <w:szCs w:val="24"/>
              </w:rPr>
              <w:t>.</w:t>
            </w:r>
          </w:p>
          <w:p w14:paraId="7CAB9763" w14:textId="5C1B9285" w:rsidR="006C1274" w:rsidRPr="006C1274" w:rsidRDefault="00CB461F" w:rsidP="00CB461F">
            <w:pPr>
              <w:rPr>
                <w:szCs w:val="24"/>
              </w:rPr>
            </w:pPr>
            <w:r w:rsidRPr="00CB461F">
              <w:rPr>
                <w:szCs w:val="24"/>
              </w:rPr>
              <w:t>Konstat</w:t>
            </w:r>
            <w:r>
              <w:rPr>
                <w:szCs w:val="24"/>
              </w:rPr>
              <w:t>uota</w:t>
            </w:r>
            <w:r w:rsidRPr="00CB461F">
              <w:rPr>
                <w:szCs w:val="24"/>
              </w:rPr>
              <w:t>, kad visų tarybos narių</w:t>
            </w:r>
            <w:r>
              <w:rPr>
                <w:szCs w:val="24"/>
              </w:rPr>
              <w:t xml:space="preserve"> </w:t>
            </w:r>
            <w:r w:rsidRPr="00CB461F">
              <w:rPr>
                <w:szCs w:val="24"/>
              </w:rPr>
              <w:t>nedalyvavimo (aptariamuoju laikotarpiu) posėdžiuose priežastys yra pateisinamos.</w:t>
            </w:r>
          </w:p>
        </w:tc>
        <w:tc>
          <w:tcPr>
            <w:tcW w:w="1429" w:type="pct"/>
          </w:tcPr>
          <w:p w14:paraId="5DDBA6C0" w14:textId="6B685F11" w:rsidR="00890448" w:rsidRPr="00756134" w:rsidRDefault="00CB461F" w:rsidP="003233D1">
            <w:pPr>
              <w:ind w:right="-82"/>
              <w:rPr>
                <w:szCs w:val="24"/>
              </w:rPr>
            </w:pPr>
            <w:r w:rsidRPr="00C626FA">
              <w:rPr>
                <w:bCs/>
                <w:szCs w:val="24"/>
              </w:rPr>
              <w:t>Rekomendacija ar sprendimas nebuvo priimtas</w:t>
            </w:r>
            <w:r>
              <w:rPr>
                <w:bCs/>
                <w:szCs w:val="24"/>
              </w:rPr>
              <w:t>.</w:t>
            </w:r>
          </w:p>
        </w:tc>
      </w:tr>
      <w:tr w:rsidR="00890448" w:rsidRPr="00607776" w14:paraId="5896020C" w14:textId="77777777" w:rsidTr="006B22EF">
        <w:trPr>
          <w:trHeight w:val="633"/>
        </w:trPr>
        <w:tc>
          <w:tcPr>
            <w:tcW w:w="699" w:type="pct"/>
            <w:vMerge/>
            <w:shd w:val="clear" w:color="auto" w:fill="B6DDE8" w:themeFill="accent5" w:themeFillTint="66"/>
          </w:tcPr>
          <w:p w14:paraId="33E12C44" w14:textId="77777777" w:rsidR="00890448" w:rsidRPr="006B22EF" w:rsidRDefault="00890448" w:rsidP="001E3065">
            <w:pPr>
              <w:jc w:val="center"/>
              <w:rPr>
                <w:b/>
                <w:szCs w:val="24"/>
              </w:rPr>
            </w:pPr>
          </w:p>
        </w:tc>
        <w:tc>
          <w:tcPr>
            <w:tcW w:w="1149" w:type="pct"/>
          </w:tcPr>
          <w:p w14:paraId="606BF9E1" w14:textId="080D04EC" w:rsidR="00890448" w:rsidRPr="00890448" w:rsidRDefault="006C1274" w:rsidP="00452231">
            <w:pPr>
              <w:rPr>
                <w:szCs w:val="24"/>
              </w:rPr>
            </w:pPr>
            <w:r w:rsidRPr="006C1274">
              <w:rPr>
                <w:szCs w:val="24"/>
              </w:rPr>
              <w:t>Dėl Etikos komisijos 202</w:t>
            </w:r>
            <w:r w:rsidR="00CB461F">
              <w:rPr>
                <w:szCs w:val="24"/>
              </w:rPr>
              <w:t>4</w:t>
            </w:r>
            <w:r w:rsidRPr="006C1274">
              <w:rPr>
                <w:szCs w:val="24"/>
              </w:rPr>
              <w:t xml:space="preserve"> m. veiklos ataskaitos.</w:t>
            </w:r>
          </w:p>
        </w:tc>
        <w:tc>
          <w:tcPr>
            <w:tcW w:w="1723" w:type="pct"/>
          </w:tcPr>
          <w:p w14:paraId="295E0A07" w14:textId="093D1A49" w:rsidR="00890448" w:rsidRPr="00890448" w:rsidRDefault="006C1274" w:rsidP="00890448">
            <w:pPr>
              <w:rPr>
                <w:szCs w:val="24"/>
              </w:rPr>
            </w:pPr>
            <w:r>
              <w:rPr>
                <w:szCs w:val="24"/>
              </w:rPr>
              <w:t>P</w:t>
            </w:r>
            <w:r w:rsidRPr="006C1274">
              <w:rPr>
                <w:szCs w:val="24"/>
              </w:rPr>
              <w:t>ritart</w:t>
            </w:r>
            <w:r>
              <w:rPr>
                <w:szCs w:val="24"/>
              </w:rPr>
              <w:t>a</w:t>
            </w:r>
            <w:r w:rsidRPr="006C1274">
              <w:rPr>
                <w:szCs w:val="24"/>
              </w:rPr>
              <w:t xml:space="preserve"> 202</w:t>
            </w:r>
            <w:r w:rsidR="00CB461F">
              <w:rPr>
                <w:szCs w:val="24"/>
              </w:rPr>
              <w:t>4</w:t>
            </w:r>
            <w:r w:rsidRPr="006C1274">
              <w:rPr>
                <w:szCs w:val="24"/>
              </w:rPr>
              <w:t xml:space="preserve"> m. Etikos komisijos veiklos ataskaitai</w:t>
            </w:r>
            <w:r>
              <w:rPr>
                <w:szCs w:val="24"/>
              </w:rPr>
              <w:t>.</w:t>
            </w:r>
          </w:p>
        </w:tc>
        <w:tc>
          <w:tcPr>
            <w:tcW w:w="1429" w:type="pct"/>
          </w:tcPr>
          <w:p w14:paraId="17B3677E" w14:textId="71922A19" w:rsidR="00890448" w:rsidRPr="00756134" w:rsidRDefault="00CB461F" w:rsidP="003233D1">
            <w:pPr>
              <w:ind w:right="-82"/>
              <w:rPr>
                <w:szCs w:val="24"/>
              </w:rPr>
            </w:pPr>
            <w:r w:rsidRPr="00CB461F">
              <w:rPr>
                <w:bCs/>
                <w:szCs w:val="24"/>
              </w:rPr>
              <w:t>Ataskaita pristatyta Savivaldybės tarybos posėdyje, paskelbta savivaldybės interneto svetainėje.</w:t>
            </w:r>
          </w:p>
        </w:tc>
      </w:tr>
      <w:tr w:rsidR="00890448" w:rsidRPr="00607776" w14:paraId="798ECA0B" w14:textId="77777777" w:rsidTr="006B22EF">
        <w:trPr>
          <w:trHeight w:val="633"/>
        </w:trPr>
        <w:tc>
          <w:tcPr>
            <w:tcW w:w="699" w:type="pct"/>
            <w:vMerge w:val="restart"/>
            <w:shd w:val="clear" w:color="auto" w:fill="B6DDE8" w:themeFill="accent5" w:themeFillTint="66"/>
          </w:tcPr>
          <w:p w14:paraId="65A4650A" w14:textId="53430859" w:rsidR="00890448" w:rsidRPr="006B22EF" w:rsidRDefault="00890448" w:rsidP="001E3065">
            <w:pPr>
              <w:jc w:val="center"/>
              <w:rPr>
                <w:b/>
                <w:szCs w:val="24"/>
              </w:rPr>
            </w:pPr>
            <w:r w:rsidRPr="006B22EF">
              <w:rPr>
                <w:b/>
                <w:szCs w:val="24"/>
              </w:rPr>
              <w:t>202</w:t>
            </w:r>
            <w:r w:rsidR="00F14F06">
              <w:rPr>
                <w:b/>
                <w:szCs w:val="24"/>
              </w:rPr>
              <w:t>5</w:t>
            </w:r>
            <w:r w:rsidRPr="006B22EF">
              <w:rPr>
                <w:b/>
                <w:szCs w:val="24"/>
              </w:rPr>
              <w:t>-0</w:t>
            </w:r>
            <w:r w:rsidR="006A7D4F">
              <w:rPr>
                <w:b/>
                <w:szCs w:val="24"/>
              </w:rPr>
              <w:t>3</w:t>
            </w:r>
            <w:r w:rsidRPr="006B22EF">
              <w:rPr>
                <w:b/>
                <w:szCs w:val="24"/>
              </w:rPr>
              <w:t>-</w:t>
            </w:r>
            <w:r w:rsidR="00E12401">
              <w:rPr>
                <w:b/>
                <w:szCs w:val="24"/>
              </w:rPr>
              <w:t>2</w:t>
            </w:r>
            <w:r w:rsidR="006A7D4F">
              <w:rPr>
                <w:b/>
                <w:szCs w:val="24"/>
              </w:rPr>
              <w:t>7</w:t>
            </w:r>
          </w:p>
          <w:p w14:paraId="7FD6D467" w14:textId="1D739001" w:rsidR="00890448" w:rsidRPr="006B22EF" w:rsidRDefault="00890448" w:rsidP="001E3065">
            <w:pPr>
              <w:jc w:val="center"/>
              <w:rPr>
                <w:b/>
                <w:szCs w:val="24"/>
              </w:rPr>
            </w:pPr>
            <w:r w:rsidRPr="006B22EF">
              <w:rPr>
                <w:b/>
                <w:szCs w:val="24"/>
              </w:rPr>
              <w:t>Nr. 25-2</w:t>
            </w:r>
          </w:p>
        </w:tc>
        <w:tc>
          <w:tcPr>
            <w:tcW w:w="1149" w:type="pct"/>
          </w:tcPr>
          <w:p w14:paraId="08F2F4E5" w14:textId="77777777" w:rsidR="00303894" w:rsidRPr="00303894" w:rsidRDefault="00303894" w:rsidP="00303894">
            <w:pPr>
              <w:rPr>
                <w:szCs w:val="24"/>
              </w:rPr>
            </w:pPr>
            <w:r w:rsidRPr="00303894">
              <w:rPr>
                <w:szCs w:val="24"/>
              </w:rPr>
              <w:t>Dėl visuomenės informavimo priemonėse paskelbtos informacijos apie mero galimai</w:t>
            </w:r>
          </w:p>
          <w:p w14:paraId="6F9F835A" w14:textId="65EC62F9" w:rsidR="00890448" w:rsidRPr="00890448" w:rsidRDefault="00303894" w:rsidP="00303894">
            <w:pPr>
              <w:rPr>
                <w:szCs w:val="24"/>
              </w:rPr>
            </w:pPr>
            <w:r w:rsidRPr="00303894">
              <w:rPr>
                <w:szCs w:val="24"/>
              </w:rPr>
              <w:t>padarytą teisės aktų reikalavimų pažeidimą</w:t>
            </w:r>
            <w:r>
              <w:rPr>
                <w:szCs w:val="24"/>
              </w:rPr>
              <w:t>.</w:t>
            </w:r>
          </w:p>
        </w:tc>
        <w:tc>
          <w:tcPr>
            <w:tcW w:w="1723" w:type="pct"/>
          </w:tcPr>
          <w:p w14:paraId="543736A5" w14:textId="77777777" w:rsidR="00890448" w:rsidRDefault="00890448" w:rsidP="00890448">
            <w:pPr>
              <w:rPr>
                <w:szCs w:val="24"/>
              </w:rPr>
            </w:pPr>
            <w:r w:rsidRPr="00451F30">
              <w:rPr>
                <w:szCs w:val="24"/>
              </w:rPr>
              <w:t>Išklausyta informacija</w:t>
            </w:r>
            <w:r>
              <w:rPr>
                <w:szCs w:val="24"/>
              </w:rPr>
              <w:t>.</w:t>
            </w:r>
          </w:p>
          <w:p w14:paraId="740F1354" w14:textId="01657900" w:rsidR="00303894" w:rsidRDefault="00303894" w:rsidP="00303894">
            <w:pPr>
              <w:rPr>
                <w:szCs w:val="24"/>
              </w:rPr>
            </w:pPr>
            <w:r>
              <w:rPr>
                <w:szCs w:val="24"/>
              </w:rPr>
              <w:t>Nuspręsta:</w:t>
            </w:r>
          </w:p>
          <w:p w14:paraId="7C58A076" w14:textId="0B610B96" w:rsidR="00303894" w:rsidRPr="006A7D4F" w:rsidRDefault="006A7D4F" w:rsidP="006A7D4F">
            <w:pPr>
              <w:rPr>
                <w:szCs w:val="24"/>
              </w:rPr>
            </w:pPr>
            <w:r w:rsidRPr="006A7D4F">
              <w:rPr>
                <w:szCs w:val="24"/>
              </w:rPr>
              <w:t>1.</w:t>
            </w:r>
            <w:r>
              <w:rPr>
                <w:szCs w:val="24"/>
              </w:rPr>
              <w:t xml:space="preserve"> </w:t>
            </w:r>
            <w:r w:rsidR="00303894" w:rsidRPr="006A7D4F">
              <w:rPr>
                <w:szCs w:val="24"/>
              </w:rPr>
              <w:t>Klausimo svarstymą sustabdyti iki bus gautas atitinkamos institucijos (t. y.</w:t>
            </w:r>
          </w:p>
          <w:p w14:paraId="6F10BD4F" w14:textId="77777777" w:rsidR="00303894" w:rsidRPr="00303894" w:rsidRDefault="00303894" w:rsidP="00303894">
            <w:pPr>
              <w:rPr>
                <w:szCs w:val="24"/>
              </w:rPr>
            </w:pPr>
            <w:r w:rsidRPr="00303894">
              <w:rPr>
                <w:szCs w:val="24"/>
              </w:rPr>
              <w:t>pradėjusios/atlikusios tyrimą įstaigos/institucijos ar teismo įsiteisėjęs sprendimas) sprendimas.</w:t>
            </w:r>
          </w:p>
          <w:p w14:paraId="703B7602" w14:textId="77777777" w:rsidR="00303894" w:rsidRPr="00303894" w:rsidRDefault="00303894" w:rsidP="00303894">
            <w:pPr>
              <w:rPr>
                <w:szCs w:val="24"/>
              </w:rPr>
            </w:pPr>
            <w:r w:rsidRPr="00303894">
              <w:rPr>
                <w:szCs w:val="24"/>
              </w:rPr>
              <w:t>2. Komisijos pirmininkui užklausti savivaldybės merą (ar Aplinkos apsaugos</w:t>
            </w:r>
          </w:p>
          <w:p w14:paraId="557F1159" w14:textId="342B23BD" w:rsidR="00FF54BB" w:rsidRPr="00011DC0" w:rsidRDefault="00303894" w:rsidP="00303894">
            <w:pPr>
              <w:rPr>
                <w:szCs w:val="24"/>
              </w:rPr>
            </w:pPr>
            <w:r w:rsidRPr="00303894">
              <w:rPr>
                <w:szCs w:val="24"/>
              </w:rPr>
              <w:t>departamentą) apie šio klausimo tyrimo atitinkamoje institucijoje ar nagrinėjimo teisme rezultatus.</w:t>
            </w:r>
          </w:p>
        </w:tc>
        <w:tc>
          <w:tcPr>
            <w:tcW w:w="1429" w:type="pct"/>
          </w:tcPr>
          <w:p w14:paraId="06C974B4" w14:textId="77777777" w:rsidR="00890448" w:rsidRPr="00756134" w:rsidRDefault="00890448" w:rsidP="003233D1">
            <w:pPr>
              <w:ind w:right="-82"/>
              <w:rPr>
                <w:szCs w:val="24"/>
              </w:rPr>
            </w:pPr>
          </w:p>
        </w:tc>
      </w:tr>
      <w:tr w:rsidR="00890448" w:rsidRPr="00607776" w14:paraId="26FB9FBE" w14:textId="77777777" w:rsidTr="006B22EF">
        <w:trPr>
          <w:trHeight w:val="633"/>
        </w:trPr>
        <w:tc>
          <w:tcPr>
            <w:tcW w:w="699" w:type="pct"/>
            <w:vMerge/>
            <w:shd w:val="clear" w:color="auto" w:fill="B6DDE8" w:themeFill="accent5" w:themeFillTint="66"/>
          </w:tcPr>
          <w:p w14:paraId="746D41E0" w14:textId="77777777" w:rsidR="00890448" w:rsidRPr="006B22EF" w:rsidRDefault="00890448" w:rsidP="001E3065">
            <w:pPr>
              <w:jc w:val="center"/>
              <w:rPr>
                <w:b/>
                <w:szCs w:val="24"/>
              </w:rPr>
            </w:pPr>
          </w:p>
        </w:tc>
        <w:tc>
          <w:tcPr>
            <w:tcW w:w="1149" w:type="pct"/>
          </w:tcPr>
          <w:p w14:paraId="1E853732" w14:textId="358CDB64" w:rsidR="00890448" w:rsidRPr="00890448" w:rsidRDefault="00303894" w:rsidP="00E12401">
            <w:pPr>
              <w:rPr>
                <w:szCs w:val="24"/>
              </w:rPr>
            </w:pPr>
            <w:r w:rsidRPr="00303894">
              <w:rPr>
                <w:szCs w:val="24"/>
              </w:rPr>
              <w:t>Dėl Tarybos narių posėdžių lankomumo.</w:t>
            </w:r>
          </w:p>
        </w:tc>
        <w:tc>
          <w:tcPr>
            <w:tcW w:w="1723" w:type="pct"/>
          </w:tcPr>
          <w:p w14:paraId="65A6F590" w14:textId="77777777" w:rsidR="00F14F06" w:rsidRPr="00F14F06" w:rsidRDefault="00F14F06" w:rsidP="00F14F06">
            <w:pPr>
              <w:rPr>
                <w:szCs w:val="24"/>
              </w:rPr>
            </w:pPr>
            <w:r w:rsidRPr="00F14F06">
              <w:rPr>
                <w:szCs w:val="24"/>
              </w:rPr>
              <w:t>Išklausyta informacija.</w:t>
            </w:r>
          </w:p>
          <w:p w14:paraId="77A346B6" w14:textId="51279224" w:rsidR="00FF54BB" w:rsidRPr="000F54E1" w:rsidRDefault="00F14F06" w:rsidP="00F14F06">
            <w:pPr>
              <w:rPr>
                <w:szCs w:val="24"/>
              </w:rPr>
            </w:pPr>
            <w:r w:rsidRPr="00F14F06">
              <w:rPr>
                <w:szCs w:val="24"/>
              </w:rPr>
              <w:t xml:space="preserve">Konstatuota, kad visų tarybos narių nedalyvavimo (aptariamuoju laikotarpiu) </w:t>
            </w:r>
            <w:r w:rsidRPr="00F14F06">
              <w:rPr>
                <w:szCs w:val="24"/>
              </w:rPr>
              <w:lastRenderedPageBreak/>
              <w:t>posėdžiuose priežastys yra pateisinamos.</w:t>
            </w:r>
          </w:p>
        </w:tc>
        <w:tc>
          <w:tcPr>
            <w:tcW w:w="1429" w:type="pct"/>
          </w:tcPr>
          <w:p w14:paraId="4DDCB43E" w14:textId="19DF73CD" w:rsidR="00890448" w:rsidRPr="00756134" w:rsidRDefault="00F14F06" w:rsidP="003233D1">
            <w:pPr>
              <w:ind w:right="-82"/>
              <w:rPr>
                <w:szCs w:val="24"/>
              </w:rPr>
            </w:pPr>
            <w:r w:rsidRPr="00F14F06">
              <w:rPr>
                <w:szCs w:val="24"/>
              </w:rPr>
              <w:lastRenderedPageBreak/>
              <w:t>Rekomendacija ar sprendimas nebuvo priimtas.</w:t>
            </w:r>
          </w:p>
        </w:tc>
      </w:tr>
      <w:tr w:rsidR="00E62B26" w:rsidRPr="00607776" w14:paraId="62ADF81B" w14:textId="77777777" w:rsidTr="00E62B26">
        <w:trPr>
          <w:trHeight w:val="926"/>
        </w:trPr>
        <w:tc>
          <w:tcPr>
            <w:tcW w:w="699" w:type="pct"/>
            <w:shd w:val="clear" w:color="auto" w:fill="B6DDE8" w:themeFill="accent5" w:themeFillTint="66"/>
          </w:tcPr>
          <w:p w14:paraId="4E6CB739" w14:textId="645CC1C2" w:rsidR="00E62B26" w:rsidRPr="006B22EF" w:rsidRDefault="00E62B26" w:rsidP="00972B78">
            <w:pPr>
              <w:jc w:val="center"/>
              <w:rPr>
                <w:b/>
                <w:szCs w:val="24"/>
              </w:rPr>
            </w:pPr>
            <w:r w:rsidRPr="006B22EF">
              <w:rPr>
                <w:b/>
                <w:szCs w:val="24"/>
              </w:rPr>
              <w:t>202</w:t>
            </w:r>
            <w:r w:rsidR="00F14F06">
              <w:rPr>
                <w:b/>
                <w:szCs w:val="24"/>
              </w:rPr>
              <w:t>5</w:t>
            </w:r>
            <w:r w:rsidRPr="006B22EF">
              <w:rPr>
                <w:b/>
                <w:szCs w:val="24"/>
              </w:rPr>
              <w:t>-</w:t>
            </w:r>
            <w:r>
              <w:rPr>
                <w:b/>
                <w:szCs w:val="24"/>
              </w:rPr>
              <w:t>0</w:t>
            </w:r>
            <w:r w:rsidR="00F14F06">
              <w:rPr>
                <w:b/>
                <w:szCs w:val="24"/>
              </w:rPr>
              <w:t>6</w:t>
            </w:r>
            <w:r w:rsidRPr="006B22EF">
              <w:rPr>
                <w:b/>
                <w:szCs w:val="24"/>
              </w:rPr>
              <w:t>-</w:t>
            </w:r>
            <w:r w:rsidR="00F14F06">
              <w:rPr>
                <w:b/>
                <w:szCs w:val="24"/>
              </w:rPr>
              <w:t>17</w:t>
            </w:r>
            <w:r w:rsidRPr="006B22EF">
              <w:rPr>
                <w:b/>
                <w:szCs w:val="24"/>
              </w:rPr>
              <w:t xml:space="preserve"> Nr. 25-3</w:t>
            </w:r>
          </w:p>
        </w:tc>
        <w:tc>
          <w:tcPr>
            <w:tcW w:w="1149" w:type="pct"/>
          </w:tcPr>
          <w:p w14:paraId="3BBDEE75" w14:textId="679D1CFD" w:rsidR="00E62B26" w:rsidRPr="00451F30" w:rsidRDefault="00E62B26" w:rsidP="00EF0E5B">
            <w:pPr>
              <w:rPr>
                <w:szCs w:val="24"/>
              </w:rPr>
            </w:pPr>
            <w:r w:rsidRPr="00E62B26">
              <w:rPr>
                <w:szCs w:val="24"/>
              </w:rPr>
              <w:t>Dėl Tarybos narių posėdžių lankomumo</w:t>
            </w:r>
            <w:r>
              <w:rPr>
                <w:szCs w:val="24"/>
              </w:rPr>
              <w:t>.</w:t>
            </w:r>
          </w:p>
        </w:tc>
        <w:tc>
          <w:tcPr>
            <w:tcW w:w="1723" w:type="pct"/>
          </w:tcPr>
          <w:p w14:paraId="32C8400D" w14:textId="77777777" w:rsidR="00F14F06" w:rsidRPr="00F14F06" w:rsidRDefault="00F14F06" w:rsidP="00F14F06">
            <w:pPr>
              <w:rPr>
                <w:szCs w:val="24"/>
              </w:rPr>
            </w:pPr>
            <w:r w:rsidRPr="00F14F06">
              <w:rPr>
                <w:szCs w:val="24"/>
              </w:rPr>
              <w:t>Išklausyta informacija.</w:t>
            </w:r>
          </w:p>
          <w:p w14:paraId="0071D5CD" w14:textId="474E078B" w:rsidR="00E62B26" w:rsidRPr="00451F30" w:rsidRDefault="00F14F06" w:rsidP="00F14F06">
            <w:pPr>
              <w:rPr>
                <w:szCs w:val="24"/>
              </w:rPr>
            </w:pPr>
            <w:r w:rsidRPr="00F14F06">
              <w:rPr>
                <w:szCs w:val="24"/>
              </w:rPr>
              <w:t>Konstatuota, kad visų tarybos narių nedalyvavimo (aptariamuoju laikotarpiu) posėdžiuose priežastys yra pateisinamos.</w:t>
            </w:r>
          </w:p>
        </w:tc>
        <w:tc>
          <w:tcPr>
            <w:tcW w:w="1429" w:type="pct"/>
          </w:tcPr>
          <w:p w14:paraId="49D099ED" w14:textId="723AFCD3" w:rsidR="00E62B26" w:rsidRPr="008E5C0B" w:rsidRDefault="00F14F06" w:rsidP="002B64C6">
            <w:pPr>
              <w:rPr>
                <w:color w:val="FF0000"/>
                <w:szCs w:val="24"/>
              </w:rPr>
            </w:pPr>
            <w:r w:rsidRPr="00F14F06">
              <w:rPr>
                <w:szCs w:val="24"/>
              </w:rPr>
              <w:t>Rekomendacija ar sprendimas nebuvo priimtas.</w:t>
            </w:r>
          </w:p>
        </w:tc>
      </w:tr>
      <w:tr w:rsidR="00B0372A" w:rsidRPr="00607776" w14:paraId="0C368979" w14:textId="77777777" w:rsidTr="006B22EF">
        <w:trPr>
          <w:trHeight w:val="415"/>
        </w:trPr>
        <w:tc>
          <w:tcPr>
            <w:tcW w:w="699" w:type="pct"/>
            <w:shd w:val="clear" w:color="auto" w:fill="B6DDE8" w:themeFill="accent5" w:themeFillTint="66"/>
          </w:tcPr>
          <w:p w14:paraId="30CBD096" w14:textId="3B30978B" w:rsidR="00B0372A" w:rsidRDefault="00176DD7" w:rsidP="00972B78">
            <w:pPr>
              <w:jc w:val="center"/>
              <w:rPr>
                <w:b/>
                <w:szCs w:val="24"/>
              </w:rPr>
            </w:pPr>
            <w:r>
              <w:rPr>
                <w:b/>
                <w:szCs w:val="24"/>
              </w:rPr>
              <w:t>202</w:t>
            </w:r>
            <w:r w:rsidR="00F14F06">
              <w:rPr>
                <w:b/>
                <w:szCs w:val="24"/>
              </w:rPr>
              <w:t>5</w:t>
            </w:r>
            <w:r>
              <w:rPr>
                <w:b/>
                <w:szCs w:val="24"/>
              </w:rPr>
              <w:t>-0</w:t>
            </w:r>
            <w:r w:rsidR="00F14F06">
              <w:rPr>
                <w:b/>
                <w:szCs w:val="24"/>
              </w:rPr>
              <w:t>8</w:t>
            </w:r>
            <w:r>
              <w:rPr>
                <w:b/>
                <w:szCs w:val="24"/>
              </w:rPr>
              <w:t>-</w:t>
            </w:r>
            <w:r w:rsidR="00F14F06">
              <w:rPr>
                <w:b/>
                <w:szCs w:val="24"/>
              </w:rPr>
              <w:t>08</w:t>
            </w:r>
          </w:p>
          <w:p w14:paraId="1624A6E0" w14:textId="51B6FF14" w:rsidR="00176DD7" w:rsidRPr="006B22EF" w:rsidRDefault="00176DD7" w:rsidP="00972B78">
            <w:pPr>
              <w:jc w:val="center"/>
              <w:rPr>
                <w:b/>
                <w:szCs w:val="24"/>
              </w:rPr>
            </w:pPr>
            <w:r>
              <w:rPr>
                <w:b/>
                <w:szCs w:val="24"/>
              </w:rPr>
              <w:t xml:space="preserve">Nr. 25-4 </w:t>
            </w:r>
          </w:p>
        </w:tc>
        <w:tc>
          <w:tcPr>
            <w:tcW w:w="1149" w:type="pct"/>
          </w:tcPr>
          <w:p w14:paraId="2B8622F1" w14:textId="77777777" w:rsidR="00F14F06" w:rsidRPr="00F14F06" w:rsidRDefault="00F14F06" w:rsidP="00F14F06">
            <w:pPr>
              <w:rPr>
                <w:szCs w:val="24"/>
              </w:rPr>
            </w:pPr>
            <w:r w:rsidRPr="00F14F06">
              <w:rPr>
                <w:szCs w:val="24"/>
              </w:rPr>
              <w:t>Dėl fizinio asmens skundo/pranešimo apie savivaldybės tarybos nario galimai padarytą</w:t>
            </w:r>
          </w:p>
          <w:p w14:paraId="1722989F" w14:textId="53F7489F" w:rsidR="00B0372A" w:rsidRPr="00890448" w:rsidRDefault="00F14F06" w:rsidP="00F14F06">
            <w:pPr>
              <w:rPr>
                <w:szCs w:val="24"/>
              </w:rPr>
            </w:pPr>
            <w:r w:rsidRPr="00F14F06">
              <w:rPr>
                <w:szCs w:val="24"/>
              </w:rPr>
              <w:t>teisės aktų reikalavimų pažeidimą.</w:t>
            </w:r>
          </w:p>
        </w:tc>
        <w:tc>
          <w:tcPr>
            <w:tcW w:w="1723" w:type="pct"/>
          </w:tcPr>
          <w:p w14:paraId="0C556125" w14:textId="2B05D996" w:rsidR="00F14F06" w:rsidRPr="00F14F06" w:rsidRDefault="00F14F06" w:rsidP="00F14F06">
            <w:pPr>
              <w:rPr>
                <w:szCs w:val="24"/>
              </w:rPr>
            </w:pPr>
            <w:r>
              <w:rPr>
                <w:szCs w:val="24"/>
              </w:rPr>
              <w:t>Nuspręsta</w:t>
            </w:r>
            <w:r w:rsidRPr="00F14F06">
              <w:rPr>
                <w:szCs w:val="24"/>
              </w:rPr>
              <w:t>:</w:t>
            </w:r>
          </w:p>
          <w:p w14:paraId="427C8B34" w14:textId="77777777" w:rsidR="00F14F06" w:rsidRPr="00F14F06" w:rsidRDefault="00F14F06" w:rsidP="00F14F06">
            <w:pPr>
              <w:rPr>
                <w:szCs w:val="24"/>
              </w:rPr>
            </w:pPr>
            <w:r w:rsidRPr="00F14F06">
              <w:rPr>
                <w:szCs w:val="24"/>
              </w:rPr>
              <w:t>1. Nepradėti tyrimo dėl savivaldybės tarybos nario Valdo Raugalo elgesio atitikties</w:t>
            </w:r>
          </w:p>
          <w:p w14:paraId="3EF51DA9" w14:textId="77777777" w:rsidR="00F14F06" w:rsidRPr="00F14F06" w:rsidRDefault="00F14F06" w:rsidP="00F14F06">
            <w:pPr>
              <w:rPr>
                <w:szCs w:val="24"/>
              </w:rPr>
            </w:pPr>
            <w:r w:rsidRPr="00F14F06">
              <w:rPr>
                <w:szCs w:val="24"/>
              </w:rPr>
              <w:t>Lietuvos Respublikos valstybės politikų elgesio kodekso nuostatoms.</w:t>
            </w:r>
          </w:p>
          <w:p w14:paraId="40DCA5D4" w14:textId="44BA7F72" w:rsidR="00F14F06" w:rsidRPr="00F14F06" w:rsidRDefault="00F14F06" w:rsidP="00F14F06">
            <w:pPr>
              <w:rPr>
                <w:szCs w:val="24"/>
              </w:rPr>
            </w:pPr>
            <w:r w:rsidRPr="00F14F06">
              <w:rPr>
                <w:szCs w:val="24"/>
              </w:rPr>
              <w:t>2. Posėdžio transliacija nevykdytina svarstant šį klausimą (atsižvelgiant į tai, jog yra su</w:t>
            </w:r>
            <w:r w:rsidR="006A7D4F">
              <w:rPr>
                <w:szCs w:val="24"/>
              </w:rPr>
              <w:t xml:space="preserve"> </w:t>
            </w:r>
            <w:r w:rsidRPr="00F14F06">
              <w:rPr>
                <w:szCs w:val="24"/>
              </w:rPr>
              <w:t>asmens duomenimis susijusios informacijos).</w:t>
            </w:r>
          </w:p>
          <w:p w14:paraId="6BD2927A" w14:textId="77777777" w:rsidR="00F14F06" w:rsidRPr="00F14F06" w:rsidRDefault="00F14F06" w:rsidP="00F14F06">
            <w:pPr>
              <w:rPr>
                <w:szCs w:val="24"/>
              </w:rPr>
            </w:pPr>
            <w:r w:rsidRPr="00F14F06">
              <w:rPr>
                <w:szCs w:val="24"/>
              </w:rPr>
              <w:t>3. Komisijos pirmininkui sprendimo (protokolo) kopiją išsiųsti Pareiškėjams, Valdui</w:t>
            </w:r>
          </w:p>
          <w:p w14:paraId="2545DCE9" w14:textId="084A31B5" w:rsidR="00B0372A" w:rsidRPr="00890448" w:rsidRDefault="00F14F06" w:rsidP="00F14F06">
            <w:pPr>
              <w:rPr>
                <w:szCs w:val="24"/>
              </w:rPr>
            </w:pPr>
            <w:r w:rsidRPr="00F14F06">
              <w:rPr>
                <w:szCs w:val="24"/>
              </w:rPr>
              <w:t>Raugalui ir Vyriausiajai tarnybinės etikos komisijai.</w:t>
            </w:r>
          </w:p>
        </w:tc>
        <w:tc>
          <w:tcPr>
            <w:tcW w:w="1429" w:type="pct"/>
          </w:tcPr>
          <w:p w14:paraId="0438A59F" w14:textId="77777777" w:rsidR="00B0372A" w:rsidRDefault="00B0372A" w:rsidP="002B64C6">
            <w:pPr>
              <w:rPr>
                <w:color w:val="FF0000"/>
                <w:szCs w:val="24"/>
              </w:rPr>
            </w:pPr>
          </w:p>
        </w:tc>
      </w:tr>
      <w:tr w:rsidR="00B0372A" w:rsidRPr="00607776" w14:paraId="0F3A61D9" w14:textId="77777777" w:rsidTr="006B22EF">
        <w:trPr>
          <w:trHeight w:val="415"/>
        </w:trPr>
        <w:tc>
          <w:tcPr>
            <w:tcW w:w="699" w:type="pct"/>
            <w:shd w:val="clear" w:color="auto" w:fill="B6DDE8" w:themeFill="accent5" w:themeFillTint="66"/>
          </w:tcPr>
          <w:p w14:paraId="33841873" w14:textId="0E331333" w:rsidR="00176DD7" w:rsidRDefault="00176DD7" w:rsidP="00176DD7">
            <w:pPr>
              <w:jc w:val="center"/>
              <w:rPr>
                <w:b/>
                <w:szCs w:val="24"/>
              </w:rPr>
            </w:pPr>
            <w:r>
              <w:rPr>
                <w:b/>
                <w:szCs w:val="24"/>
              </w:rPr>
              <w:t>202</w:t>
            </w:r>
            <w:r w:rsidR="00F14F06">
              <w:rPr>
                <w:b/>
                <w:szCs w:val="24"/>
              </w:rPr>
              <w:t>5</w:t>
            </w:r>
            <w:r>
              <w:rPr>
                <w:b/>
                <w:szCs w:val="24"/>
              </w:rPr>
              <w:t>-</w:t>
            </w:r>
            <w:r w:rsidR="00F14F06">
              <w:rPr>
                <w:b/>
                <w:szCs w:val="24"/>
              </w:rPr>
              <w:t>11</w:t>
            </w:r>
            <w:r>
              <w:rPr>
                <w:b/>
                <w:szCs w:val="24"/>
              </w:rPr>
              <w:t>-</w:t>
            </w:r>
            <w:r w:rsidR="00F14F06">
              <w:rPr>
                <w:b/>
                <w:szCs w:val="24"/>
              </w:rPr>
              <w:t>27</w:t>
            </w:r>
          </w:p>
          <w:p w14:paraId="6E6C2DF5" w14:textId="5A8433B6" w:rsidR="00B0372A" w:rsidRPr="006B22EF" w:rsidRDefault="00176DD7" w:rsidP="00176DD7">
            <w:pPr>
              <w:jc w:val="center"/>
              <w:rPr>
                <w:b/>
                <w:szCs w:val="24"/>
              </w:rPr>
            </w:pPr>
            <w:r>
              <w:rPr>
                <w:b/>
                <w:szCs w:val="24"/>
              </w:rPr>
              <w:t>Nr. 25-</w:t>
            </w:r>
            <w:r w:rsidR="00827EA9">
              <w:rPr>
                <w:b/>
                <w:szCs w:val="24"/>
              </w:rPr>
              <w:t>5</w:t>
            </w:r>
          </w:p>
        </w:tc>
        <w:tc>
          <w:tcPr>
            <w:tcW w:w="1149" w:type="pct"/>
          </w:tcPr>
          <w:p w14:paraId="472BF9BA" w14:textId="1A6F2932" w:rsidR="00FF54BB" w:rsidRPr="00890448" w:rsidRDefault="00F14F06" w:rsidP="000E0411">
            <w:pPr>
              <w:rPr>
                <w:szCs w:val="24"/>
              </w:rPr>
            </w:pPr>
            <w:r w:rsidRPr="00F14F06">
              <w:rPr>
                <w:szCs w:val="24"/>
              </w:rPr>
              <w:t>Dėl Tarybos narių posėdžių lankomumo.</w:t>
            </w:r>
          </w:p>
        </w:tc>
        <w:tc>
          <w:tcPr>
            <w:tcW w:w="1723" w:type="pct"/>
          </w:tcPr>
          <w:p w14:paraId="387FA052" w14:textId="77777777" w:rsidR="00F14F06" w:rsidRPr="00F14F06" w:rsidRDefault="00F14F06" w:rsidP="00F14F06">
            <w:pPr>
              <w:rPr>
                <w:szCs w:val="24"/>
              </w:rPr>
            </w:pPr>
            <w:r w:rsidRPr="00F14F06">
              <w:rPr>
                <w:szCs w:val="24"/>
              </w:rPr>
              <w:t>Išklausyta informacija.</w:t>
            </w:r>
          </w:p>
          <w:p w14:paraId="7D1839CC" w14:textId="13364102" w:rsidR="000E0411" w:rsidRPr="00890448" w:rsidRDefault="00F14F06" w:rsidP="00F14F06">
            <w:pPr>
              <w:rPr>
                <w:szCs w:val="24"/>
              </w:rPr>
            </w:pPr>
            <w:r w:rsidRPr="00F14F06">
              <w:rPr>
                <w:szCs w:val="24"/>
              </w:rPr>
              <w:t>Konstatuota, kad visų tarybos narių nedalyvavimo (aptariamuoju laikotarpiu) posėdžiuose priežastys yra pateisinamos.</w:t>
            </w:r>
          </w:p>
        </w:tc>
        <w:tc>
          <w:tcPr>
            <w:tcW w:w="1429" w:type="pct"/>
          </w:tcPr>
          <w:p w14:paraId="256E3029" w14:textId="1979DA3B" w:rsidR="00B0372A" w:rsidRDefault="00F14F06" w:rsidP="002B64C6">
            <w:pPr>
              <w:rPr>
                <w:color w:val="FF0000"/>
                <w:szCs w:val="24"/>
              </w:rPr>
            </w:pPr>
            <w:r w:rsidRPr="00F14F06">
              <w:rPr>
                <w:szCs w:val="24"/>
              </w:rPr>
              <w:t>Rekomendacija ar sprendimas nebuvo priimtas</w:t>
            </w:r>
            <w:r>
              <w:rPr>
                <w:szCs w:val="24"/>
              </w:rPr>
              <w:t>.</w:t>
            </w:r>
          </w:p>
        </w:tc>
      </w:tr>
      <w:tr w:rsidR="00B0372A" w:rsidRPr="00607776" w14:paraId="6965451B" w14:textId="77777777" w:rsidTr="006B22EF">
        <w:trPr>
          <w:trHeight w:val="415"/>
        </w:trPr>
        <w:tc>
          <w:tcPr>
            <w:tcW w:w="699" w:type="pct"/>
            <w:shd w:val="clear" w:color="auto" w:fill="B6DDE8" w:themeFill="accent5" w:themeFillTint="66"/>
          </w:tcPr>
          <w:p w14:paraId="61D46B11" w14:textId="413D3852" w:rsidR="00B0372A" w:rsidRDefault="00126845" w:rsidP="00972B78">
            <w:pPr>
              <w:jc w:val="center"/>
              <w:rPr>
                <w:b/>
                <w:szCs w:val="24"/>
              </w:rPr>
            </w:pPr>
            <w:r>
              <w:rPr>
                <w:b/>
                <w:szCs w:val="24"/>
              </w:rPr>
              <w:t>202</w:t>
            </w:r>
            <w:r w:rsidR="00F14F06">
              <w:rPr>
                <w:b/>
                <w:szCs w:val="24"/>
              </w:rPr>
              <w:t>5</w:t>
            </w:r>
            <w:r>
              <w:rPr>
                <w:b/>
                <w:szCs w:val="24"/>
              </w:rPr>
              <w:t>-</w:t>
            </w:r>
            <w:r w:rsidR="00F14F06">
              <w:rPr>
                <w:b/>
                <w:szCs w:val="24"/>
              </w:rPr>
              <w:t>12</w:t>
            </w:r>
            <w:r>
              <w:rPr>
                <w:b/>
                <w:szCs w:val="24"/>
              </w:rPr>
              <w:t>-</w:t>
            </w:r>
            <w:r w:rsidR="00F14F06">
              <w:rPr>
                <w:b/>
                <w:szCs w:val="24"/>
              </w:rPr>
              <w:t>05</w:t>
            </w:r>
          </w:p>
          <w:p w14:paraId="3AD99525" w14:textId="6885D499" w:rsidR="00126845" w:rsidRPr="006B22EF" w:rsidRDefault="00126845" w:rsidP="00972B78">
            <w:pPr>
              <w:jc w:val="center"/>
              <w:rPr>
                <w:b/>
                <w:szCs w:val="24"/>
              </w:rPr>
            </w:pPr>
            <w:r>
              <w:rPr>
                <w:b/>
                <w:szCs w:val="24"/>
              </w:rPr>
              <w:t>Nr. 25-6</w:t>
            </w:r>
          </w:p>
        </w:tc>
        <w:tc>
          <w:tcPr>
            <w:tcW w:w="1149" w:type="pct"/>
          </w:tcPr>
          <w:p w14:paraId="6FFE9BB3" w14:textId="77777777" w:rsidR="00F14F06" w:rsidRPr="00F14F06" w:rsidRDefault="00F14F06" w:rsidP="00F14F06">
            <w:pPr>
              <w:rPr>
                <w:szCs w:val="24"/>
              </w:rPr>
            </w:pPr>
            <w:r w:rsidRPr="00F14F06">
              <w:rPr>
                <w:szCs w:val="24"/>
              </w:rPr>
              <w:t>Dėl visuomenės informavimo priemonėse paskelbtos informacijos apie mero galimai</w:t>
            </w:r>
          </w:p>
          <w:p w14:paraId="483B7E30" w14:textId="15A80709" w:rsidR="00FF54BB" w:rsidRPr="00890448" w:rsidRDefault="00F14F06" w:rsidP="00F14F06">
            <w:pPr>
              <w:rPr>
                <w:szCs w:val="24"/>
              </w:rPr>
            </w:pPr>
            <w:r w:rsidRPr="00F14F06">
              <w:rPr>
                <w:szCs w:val="24"/>
              </w:rPr>
              <w:t>padarytą teisės aktų reikalavimų pažeidimą.</w:t>
            </w:r>
          </w:p>
        </w:tc>
        <w:tc>
          <w:tcPr>
            <w:tcW w:w="1723" w:type="pct"/>
          </w:tcPr>
          <w:p w14:paraId="644F09B5" w14:textId="6D328FFF" w:rsidR="00F14F06" w:rsidRPr="00F14F06" w:rsidRDefault="00F14F06" w:rsidP="00F14F06">
            <w:pPr>
              <w:rPr>
                <w:szCs w:val="24"/>
              </w:rPr>
            </w:pPr>
            <w:r>
              <w:rPr>
                <w:szCs w:val="24"/>
              </w:rPr>
              <w:t>Nuspręsta:</w:t>
            </w:r>
          </w:p>
          <w:p w14:paraId="7F45B257" w14:textId="4E9E0DE7" w:rsidR="00F14F06" w:rsidRPr="00F14F06" w:rsidRDefault="00F14F06" w:rsidP="00F14F06">
            <w:pPr>
              <w:rPr>
                <w:szCs w:val="24"/>
              </w:rPr>
            </w:pPr>
            <w:r w:rsidRPr="00F14F06">
              <w:rPr>
                <w:szCs w:val="24"/>
              </w:rPr>
              <w:t>1. Vadovaujantis Etikos komisijos nuostatų 33 punktu, nepradėti tyrimo dėl</w:t>
            </w:r>
            <w:r w:rsidR="006A7D4F">
              <w:rPr>
                <w:szCs w:val="24"/>
              </w:rPr>
              <w:t xml:space="preserve"> </w:t>
            </w:r>
            <w:r w:rsidRPr="00F14F06">
              <w:rPr>
                <w:szCs w:val="24"/>
              </w:rPr>
              <w:t>savivaldybės mero Dariaus Varno veiksmų, savivaldybės merui savo elgesį pripažinus neetišku bei</w:t>
            </w:r>
            <w:r w:rsidR="006A7D4F">
              <w:rPr>
                <w:szCs w:val="24"/>
              </w:rPr>
              <w:t xml:space="preserve"> </w:t>
            </w:r>
            <w:r w:rsidRPr="00F14F06">
              <w:rPr>
                <w:szCs w:val="24"/>
              </w:rPr>
              <w:t>nesuderinamu su jo pareigomis ir institucija, kurioje jis eina pareigas, ir dėl to viešai atsiprašius.</w:t>
            </w:r>
          </w:p>
          <w:p w14:paraId="2FD7C32B" w14:textId="77777777" w:rsidR="00F14F06" w:rsidRPr="00F14F06" w:rsidRDefault="00F14F06" w:rsidP="00F14F06">
            <w:pPr>
              <w:rPr>
                <w:szCs w:val="24"/>
              </w:rPr>
            </w:pPr>
            <w:r w:rsidRPr="00F14F06">
              <w:rPr>
                <w:szCs w:val="24"/>
              </w:rPr>
              <w:t>2. Komisijos pirmininkui sprendimo (protokolo) kopiją išsiųsti savivaldybės merui</w:t>
            </w:r>
          </w:p>
          <w:p w14:paraId="2D64D7CC" w14:textId="26C458FD" w:rsidR="00FF54BB" w:rsidRPr="00890448" w:rsidRDefault="00F14F06" w:rsidP="00F14F06">
            <w:pPr>
              <w:rPr>
                <w:szCs w:val="24"/>
              </w:rPr>
            </w:pPr>
            <w:r w:rsidRPr="00F14F06">
              <w:rPr>
                <w:szCs w:val="24"/>
              </w:rPr>
              <w:t xml:space="preserve">Dariui Varnui ir Vyriausiajai tarnybinės etikos komisijai. </w:t>
            </w:r>
          </w:p>
        </w:tc>
        <w:tc>
          <w:tcPr>
            <w:tcW w:w="1429" w:type="pct"/>
          </w:tcPr>
          <w:p w14:paraId="10B77737" w14:textId="77777777" w:rsidR="00B0372A" w:rsidRDefault="00B0372A" w:rsidP="002B64C6">
            <w:pPr>
              <w:rPr>
                <w:color w:val="FF0000"/>
                <w:szCs w:val="24"/>
              </w:rPr>
            </w:pPr>
          </w:p>
        </w:tc>
      </w:tr>
    </w:tbl>
    <w:p w14:paraId="35AAA8FE" w14:textId="6F21FACD" w:rsidR="00327ED8" w:rsidRDefault="00327ED8" w:rsidP="00A43B75">
      <w:pPr>
        <w:jc w:val="both"/>
        <w:rPr>
          <w:u w:val="single"/>
        </w:rPr>
      </w:pPr>
    </w:p>
    <w:p w14:paraId="5E7CD02C" w14:textId="77777777" w:rsidR="00011DC0" w:rsidRDefault="00011DC0" w:rsidP="00011DC0">
      <w:pPr>
        <w:tabs>
          <w:tab w:val="left" w:pos="720"/>
        </w:tabs>
        <w:jc w:val="center"/>
        <w:rPr>
          <w:b/>
          <w:bCs/>
          <w:color w:val="000000"/>
        </w:rPr>
      </w:pPr>
    </w:p>
    <w:p w14:paraId="71DDF9B9" w14:textId="77777777" w:rsidR="00011DC0" w:rsidRDefault="00011DC0" w:rsidP="00011DC0">
      <w:pPr>
        <w:tabs>
          <w:tab w:val="left" w:pos="720"/>
        </w:tabs>
        <w:ind w:firstLine="1276"/>
        <w:jc w:val="both"/>
        <w:rPr>
          <w:color w:val="000000" w:themeColor="text1"/>
        </w:rPr>
      </w:pPr>
    </w:p>
    <w:p w14:paraId="373DE3D6" w14:textId="77777777" w:rsidR="00CB461F" w:rsidRDefault="00CB461F" w:rsidP="00CB461F">
      <w:pPr>
        <w:tabs>
          <w:tab w:val="left" w:pos="720"/>
        </w:tabs>
        <w:jc w:val="center"/>
        <w:rPr>
          <w:b/>
        </w:rPr>
      </w:pPr>
    </w:p>
    <w:p w14:paraId="56029D9C" w14:textId="5327C1AD" w:rsidR="00CB461F" w:rsidRPr="00CB461F" w:rsidRDefault="00CB461F" w:rsidP="00CB461F">
      <w:pPr>
        <w:tabs>
          <w:tab w:val="left" w:pos="720"/>
        </w:tabs>
        <w:jc w:val="center"/>
        <w:rPr>
          <w:b/>
        </w:rPr>
      </w:pPr>
      <w:r w:rsidRPr="00CB461F">
        <w:rPr>
          <w:b/>
        </w:rPr>
        <w:t>Komisijų posėdžių lankomumo suvestinė</w:t>
      </w:r>
    </w:p>
    <w:p w14:paraId="3D653AF8" w14:textId="77777777" w:rsidR="00CB461F" w:rsidRPr="00CB461F" w:rsidRDefault="00CB461F" w:rsidP="00CB461F">
      <w:pPr>
        <w:tabs>
          <w:tab w:val="left" w:pos="720"/>
        </w:tabs>
        <w:jc w:val="both"/>
        <w:rPr>
          <w:bCs/>
          <w:color w:val="EE0000"/>
        </w:rPr>
      </w:pPr>
    </w:p>
    <w:p w14:paraId="6F941901" w14:textId="77777777" w:rsidR="00CB461F" w:rsidRPr="00CB461F" w:rsidRDefault="00CB461F" w:rsidP="00CB461F">
      <w:pPr>
        <w:tabs>
          <w:tab w:val="left" w:pos="720"/>
        </w:tabs>
        <w:jc w:val="both"/>
        <w:rPr>
          <w:b/>
        </w:rPr>
      </w:pPr>
      <w:r w:rsidRPr="00CB461F">
        <w:rPr>
          <w:bCs/>
          <w:color w:val="EE0000"/>
        </w:rPr>
        <w:tab/>
      </w:r>
      <w:r w:rsidRPr="00CB461F">
        <w:rPr>
          <w:bCs/>
        </w:rPr>
        <w:t>Savivaldybės tarybos nariams už darbą yra mokamas atlyginimas. Jis mažinamas proporcingai tam, kiek tarybos narys per mėnesį praleidžia tarybos, komitetų ar komisijų posėdžių. Todėl komisijų posėdžių lankomumas turi tiesioginę įtaką tarybos narių atlyginimui. Informacija apie lankomumą ir atlyginimus yra vieša.</w:t>
      </w:r>
      <w:r w:rsidRPr="00CB461F">
        <w:t xml:space="preserve"> </w:t>
      </w:r>
      <w:r w:rsidRPr="00CB461F">
        <w:rPr>
          <w:bCs/>
        </w:rPr>
        <w:t>Detalesnė informacija pateikiama lentelėje.</w:t>
      </w:r>
    </w:p>
    <w:p w14:paraId="1F901E32" w14:textId="77777777" w:rsidR="00CB461F" w:rsidRPr="00CB461F" w:rsidRDefault="00CB461F" w:rsidP="00CB461F">
      <w:pPr>
        <w:tabs>
          <w:tab w:val="left" w:pos="720"/>
        </w:tabs>
        <w:jc w:val="center"/>
        <w:rPr>
          <w:b/>
        </w:rPr>
      </w:pPr>
    </w:p>
    <w:tbl>
      <w:tblPr>
        <w:tblStyle w:val="Lentelstinklelis1"/>
        <w:tblpPr w:leftFromText="180" w:rightFromText="180" w:vertAnchor="text" w:horzAnchor="margin" w:tblpXSpec="center" w:tblpY="155"/>
        <w:tblW w:w="8784" w:type="dxa"/>
        <w:tblInd w:w="0" w:type="dxa"/>
        <w:tblLayout w:type="fixed"/>
        <w:tblLook w:val="04A0" w:firstRow="1" w:lastRow="0" w:firstColumn="1" w:lastColumn="0" w:noHBand="0" w:noVBand="1"/>
      </w:tblPr>
      <w:tblGrid>
        <w:gridCol w:w="2405"/>
        <w:gridCol w:w="992"/>
        <w:gridCol w:w="1279"/>
        <w:gridCol w:w="1415"/>
        <w:gridCol w:w="1417"/>
        <w:gridCol w:w="1276"/>
      </w:tblGrid>
      <w:tr w:rsidR="00CB461F" w:rsidRPr="00CB461F" w14:paraId="687647FC" w14:textId="77777777" w:rsidTr="000216D9">
        <w:trPr>
          <w:trHeight w:val="435"/>
        </w:trPr>
        <w:tc>
          <w:tcPr>
            <w:tcW w:w="2405" w:type="dxa"/>
            <w:vMerge w:val="restart"/>
            <w:shd w:val="clear" w:color="auto" w:fill="B6DDE8"/>
          </w:tcPr>
          <w:p w14:paraId="76E32E1E" w14:textId="77777777" w:rsidR="00CB461F" w:rsidRPr="00CB461F" w:rsidRDefault="00CB461F" w:rsidP="00CB461F">
            <w:pPr>
              <w:jc w:val="center"/>
              <w:rPr>
                <w:rFonts w:eastAsia="Calibri"/>
                <w:b/>
              </w:rPr>
            </w:pPr>
            <w:bookmarkStart w:id="0" w:name="_Hlk219111358"/>
            <w:r w:rsidRPr="00CB461F">
              <w:rPr>
                <w:rFonts w:eastAsia="Calibri"/>
                <w:b/>
              </w:rPr>
              <w:t>Komisijos narys</w:t>
            </w:r>
          </w:p>
        </w:tc>
        <w:tc>
          <w:tcPr>
            <w:tcW w:w="6379" w:type="dxa"/>
            <w:gridSpan w:val="5"/>
            <w:shd w:val="clear" w:color="auto" w:fill="B6DDE8" w:themeFill="accent5" w:themeFillTint="66"/>
          </w:tcPr>
          <w:p w14:paraId="046D1975" w14:textId="77777777" w:rsidR="00CB461F" w:rsidRPr="00CB461F" w:rsidRDefault="00CB461F" w:rsidP="00CB461F">
            <w:pPr>
              <w:jc w:val="center"/>
              <w:rPr>
                <w:rFonts w:eastAsia="Calibri"/>
                <w:b/>
              </w:rPr>
            </w:pPr>
            <w:r w:rsidRPr="00CB461F">
              <w:rPr>
                <w:rFonts w:eastAsia="Calibri"/>
                <w:b/>
              </w:rPr>
              <w:t xml:space="preserve">Posėdžiai </w:t>
            </w:r>
          </w:p>
        </w:tc>
      </w:tr>
      <w:tr w:rsidR="00CB461F" w:rsidRPr="00CB461F" w14:paraId="3277C473" w14:textId="77777777" w:rsidTr="00303894">
        <w:trPr>
          <w:trHeight w:val="681"/>
        </w:trPr>
        <w:tc>
          <w:tcPr>
            <w:tcW w:w="2405" w:type="dxa"/>
            <w:vMerge/>
            <w:shd w:val="clear" w:color="auto" w:fill="B6DDE8"/>
          </w:tcPr>
          <w:p w14:paraId="1CB48E61" w14:textId="77777777" w:rsidR="00CB461F" w:rsidRPr="00CB461F" w:rsidRDefault="00CB461F" w:rsidP="00CB461F">
            <w:pPr>
              <w:jc w:val="center"/>
              <w:rPr>
                <w:rFonts w:eastAsia="Calibri"/>
                <w:b/>
              </w:rPr>
            </w:pPr>
          </w:p>
        </w:tc>
        <w:tc>
          <w:tcPr>
            <w:tcW w:w="992" w:type="dxa"/>
            <w:shd w:val="clear" w:color="auto" w:fill="B6DDE8" w:themeFill="accent5" w:themeFillTint="66"/>
          </w:tcPr>
          <w:p w14:paraId="55C6CE11" w14:textId="77777777" w:rsidR="00CB461F" w:rsidRPr="00CB461F" w:rsidRDefault="00CB461F" w:rsidP="00CB461F">
            <w:pPr>
              <w:jc w:val="center"/>
              <w:rPr>
                <w:rFonts w:eastAsia="Calibri"/>
                <w:b/>
                <w:sz w:val="20"/>
              </w:rPr>
            </w:pPr>
            <w:r w:rsidRPr="00CB461F">
              <w:rPr>
                <w:rFonts w:eastAsia="Calibri"/>
                <w:b/>
                <w:sz w:val="20"/>
              </w:rPr>
              <w:t>Iš viso</w:t>
            </w:r>
          </w:p>
          <w:p w14:paraId="46DC502C" w14:textId="77777777" w:rsidR="00CB461F" w:rsidRPr="00CB461F" w:rsidRDefault="00CB461F" w:rsidP="00CB461F">
            <w:pPr>
              <w:jc w:val="center"/>
              <w:rPr>
                <w:rFonts w:eastAsia="Calibri"/>
                <w:b/>
                <w:sz w:val="20"/>
              </w:rPr>
            </w:pPr>
          </w:p>
        </w:tc>
        <w:tc>
          <w:tcPr>
            <w:tcW w:w="1279" w:type="dxa"/>
            <w:shd w:val="clear" w:color="auto" w:fill="B6DDE8" w:themeFill="accent5" w:themeFillTint="66"/>
          </w:tcPr>
          <w:p w14:paraId="0CFC7457" w14:textId="77777777" w:rsidR="00CB461F" w:rsidRPr="00CB461F" w:rsidRDefault="00CB461F" w:rsidP="00CB461F">
            <w:pPr>
              <w:jc w:val="center"/>
              <w:rPr>
                <w:rFonts w:eastAsia="Calibri"/>
                <w:b/>
                <w:sz w:val="20"/>
              </w:rPr>
            </w:pPr>
            <w:r w:rsidRPr="00CB461F">
              <w:rPr>
                <w:rFonts w:eastAsia="Calibri"/>
                <w:b/>
                <w:sz w:val="20"/>
              </w:rPr>
              <w:t xml:space="preserve">Dalyvauta </w:t>
            </w:r>
          </w:p>
          <w:p w14:paraId="4C07E49A" w14:textId="77777777" w:rsidR="00CB461F" w:rsidRPr="00CB461F" w:rsidRDefault="00CB461F" w:rsidP="00CB461F">
            <w:pPr>
              <w:jc w:val="center"/>
              <w:rPr>
                <w:rFonts w:eastAsia="Calibri"/>
                <w:b/>
                <w:sz w:val="20"/>
              </w:rPr>
            </w:pPr>
            <w:r w:rsidRPr="00CB461F">
              <w:rPr>
                <w:rFonts w:eastAsia="Calibri"/>
                <w:b/>
                <w:sz w:val="20"/>
              </w:rPr>
              <w:t>tiesiogiai</w:t>
            </w:r>
          </w:p>
        </w:tc>
        <w:tc>
          <w:tcPr>
            <w:tcW w:w="1415" w:type="dxa"/>
            <w:shd w:val="clear" w:color="auto" w:fill="B6DDE8" w:themeFill="accent5" w:themeFillTint="66"/>
          </w:tcPr>
          <w:p w14:paraId="65D9CE38" w14:textId="77777777" w:rsidR="00CB461F" w:rsidRPr="00CB461F" w:rsidRDefault="00CB461F" w:rsidP="00CB461F">
            <w:pPr>
              <w:jc w:val="center"/>
              <w:rPr>
                <w:rFonts w:eastAsia="Calibri"/>
                <w:b/>
                <w:sz w:val="20"/>
              </w:rPr>
            </w:pPr>
            <w:r w:rsidRPr="00CB461F">
              <w:rPr>
                <w:rFonts w:eastAsia="Calibri"/>
                <w:b/>
                <w:sz w:val="20"/>
              </w:rPr>
              <w:t xml:space="preserve">Dalyvauta </w:t>
            </w:r>
          </w:p>
          <w:p w14:paraId="6FC93838" w14:textId="77777777" w:rsidR="00CB461F" w:rsidRPr="00CB461F" w:rsidRDefault="00CB461F" w:rsidP="00CB461F">
            <w:pPr>
              <w:jc w:val="center"/>
              <w:rPr>
                <w:rFonts w:eastAsia="Calibri"/>
                <w:b/>
                <w:sz w:val="20"/>
              </w:rPr>
            </w:pPr>
            <w:r w:rsidRPr="00CB461F">
              <w:rPr>
                <w:rFonts w:eastAsia="Calibri"/>
                <w:b/>
                <w:sz w:val="20"/>
              </w:rPr>
              <w:t>nuotoliu</w:t>
            </w:r>
          </w:p>
        </w:tc>
        <w:tc>
          <w:tcPr>
            <w:tcW w:w="1417" w:type="dxa"/>
            <w:shd w:val="clear" w:color="auto" w:fill="B6DDE8" w:themeFill="accent5" w:themeFillTint="66"/>
          </w:tcPr>
          <w:p w14:paraId="157EC28B" w14:textId="2D2D68DB" w:rsidR="00CB461F" w:rsidRPr="00CB461F" w:rsidRDefault="00303894" w:rsidP="00CB461F">
            <w:pPr>
              <w:jc w:val="center"/>
              <w:rPr>
                <w:rFonts w:eastAsia="Calibri"/>
                <w:b/>
                <w:sz w:val="20"/>
              </w:rPr>
            </w:pPr>
            <w:r>
              <w:rPr>
                <w:rFonts w:eastAsia="Calibri"/>
                <w:b/>
                <w:sz w:val="20"/>
              </w:rPr>
              <w:t>Nedalyvauta</w:t>
            </w:r>
            <w:r w:rsidR="00CB461F" w:rsidRPr="00CB461F">
              <w:rPr>
                <w:rFonts w:eastAsia="Calibri"/>
                <w:b/>
                <w:sz w:val="20"/>
              </w:rPr>
              <w:t xml:space="preserve"> </w:t>
            </w:r>
          </w:p>
          <w:p w14:paraId="3AFA0E43" w14:textId="77777777" w:rsidR="00CB461F" w:rsidRPr="00CB461F" w:rsidRDefault="00CB461F" w:rsidP="00CB461F">
            <w:pPr>
              <w:jc w:val="center"/>
              <w:rPr>
                <w:rFonts w:eastAsia="Calibri"/>
                <w:b/>
                <w:sz w:val="20"/>
              </w:rPr>
            </w:pPr>
          </w:p>
        </w:tc>
        <w:tc>
          <w:tcPr>
            <w:tcW w:w="1276" w:type="dxa"/>
            <w:shd w:val="clear" w:color="auto" w:fill="B6DDE8" w:themeFill="accent5" w:themeFillTint="66"/>
          </w:tcPr>
          <w:p w14:paraId="2601E9EC" w14:textId="77777777" w:rsidR="00CB461F" w:rsidRPr="00CB461F" w:rsidRDefault="00CB461F" w:rsidP="00CB461F">
            <w:pPr>
              <w:jc w:val="center"/>
              <w:rPr>
                <w:rFonts w:eastAsia="Calibri"/>
                <w:b/>
                <w:sz w:val="20"/>
              </w:rPr>
            </w:pPr>
            <w:r w:rsidRPr="00CB461F">
              <w:rPr>
                <w:rFonts w:eastAsia="Calibri"/>
                <w:b/>
                <w:sz w:val="20"/>
              </w:rPr>
              <w:t>Nusišalinta</w:t>
            </w:r>
          </w:p>
        </w:tc>
      </w:tr>
      <w:tr w:rsidR="00CB461F" w:rsidRPr="00CB461F" w14:paraId="7B3A4D9E" w14:textId="77777777" w:rsidTr="00303894">
        <w:trPr>
          <w:trHeight w:val="265"/>
        </w:trPr>
        <w:tc>
          <w:tcPr>
            <w:tcW w:w="2405" w:type="dxa"/>
            <w:shd w:val="clear" w:color="auto" w:fill="B6DDE8"/>
          </w:tcPr>
          <w:p w14:paraId="37B82EB8" w14:textId="77777777" w:rsidR="00CB461F" w:rsidRPr="00CB461F" w:rsidRDefault="00CB461F" w:rsidP="00CB461F">
            <w:pPr>
              <w:rPr>
                <w:rFonts w:eastAsia="Calibri"/>
              </w:rPr>
            </w:pPr>
            <w:r w:rsidRPr="00CB461F">
              <w:rPr>
                <w:rFonts w:eastAsia="Calibri"/>
              </w:rPr>
              <w:t>Giedrius Auglys</w:t>
            </w:r>
          </w:p>
        </w:tc>
        <w:tc>
          <w:tcPr>
            <w:tcW w:w="992" w:type="dxa"/>
            <w:vMerge w:val="restart"/>
          </w:tcPr>
          <w:p w14:paraId="2FE51280" w14:textId="77777777" w:rsidR="00CB461F" w:rsidRPr="00CB461F" w:rsidRDefault="00CB461F" w:rsidP="00CB461F">
            <w:pPr>
              <w:jc w:val="center"/>
              <w:rPr>
                <w:rFonts w:eastAsia="Calibri"/>
              </w:rPr>
            </w:pPr>
          </w:p>
          <w:p w14:paraId="0203812F" w14:textId="77777777" w:rsidR="00CB461F" w:rsidRPr="00CB461F" w:rsidRDefault="00CB461F" w:rsidP="00CB461F">
            <w:pPr>
              <w:rPr>
                <w:rFonts w:eastAsia="Calibri"/>
              </w:rPr>
            </w:pPr>
          </w:p>
          <w:p w14:paraId="5B7FA2E4" w14:textId="5FE28983" w:rsidR="00CB461F" w:rsidRPr="00CB461F" w:rsidRDefault="00303894" w:rsidP="00CB461F">
            <w:pPr>
              <w:jc w:val="center"/>
              <w:rPr>
                <w:rFonts w:eastAsia="Calibri"/>
              </w:rPr>
            </w:pPr>
            <w:r>
              <w:rPr>
                <w:rFonts w:eastAsia="Calibri"/>
              </w:rPr>
              <w:t>6</w:t>
            </w:r>
          </w:p>
        </w:tc>
        <w:tc>
          <w:tcPr>
            <w:tcW w:w="1279" w:type="dxa"/>
          </w:tcPr>
          <w:p w14:paraId="4A98F539" w14:textId="4A7493E0" w:rsidR="00CB461F" w:rsidRPr="00CB461F" w:rsidRDefault="00D95D32" w:rsidP="00CB461F">
            <w:pPr>
              <w:jc w:val="center"/>
              <w:rPr>
                <w:rFonts w:eastAsia="Calibri"/>
              </w:rPr>
            </w:pPr>
            <w:r>
              <w:rPr>
                <w:rFonts w:eastAsia="Calibri"/>
              </w:rPr>
              <w:t>6</w:t>
            </w:r>
          </w:p>
        </w:tc>
        <w:tc>
          <w:tcPr>
            <w:tcW w:w="1415" w:type="dxa"/>
          </w:tcPr>
          <w:p w14:paraId="690467DE" w14:textId="011A072C" w:rsidR="00CB461F" w:rsidRPr="00CB461F" w:rsidRDefault="00D95D32" w:rsidP="00CB461F">
            <w:pPr>
              <w:jc w:val="center"/>
              <w:rPr>
                <w:rFonts w:eastAsia="Calibri"/>
              </w:rPr>
            </w:pPr>
            <w:r>
              <w:rPr>
                <w:rFonts w:eastAsia="Calibri"/>
              </w:rPr>
              <w:t>-</w:t>
            </w:r>
          </w:p>
        </w:tc>
        <w:tc>
          <w:tcPr>
            <w:tcW w:w="1417" w:type="dxa"/>
          </w:tcPr>
          <w:p w14:paraId="69119985" w14:textId="5E91E526" w:rsidR="00CB461F" w:rsidRPr="00CB461F" w:rsidRDefault="00D95D32" w:rsidP="00CB461F">
            <w:pPr>
              <w:jc w:val="center"/>
              <w:rPr>
                <w:rFonts w:eastAsia="Calibri"/>
              </w:rPr>
            </w:pPr>
            <w:r>
              <w:rPr>
                <w:rFonts w:eastAsia="Calibri"/>
              </w:rPr>
              <w:t>-</w:t>
            </w:r>
          </w:p>
        </w:tc>
        <w:tc>
          <w:tcPr>
            <w:tcW w:w="1276" w:type="dxa"/>
          </w:tcPr>
          <w:p w14:paraId="633B7668" w14:textId="77777777" w:rsidR="00CB461F" w:rsidRPr="00CB461F" w:rsidRDefault="00CB461F" w:rsidP="00CB461F">
            <w:pPr>
              <w:jc w:val="center"/>
              <w:rPr>
                <w:rFonts w:eastAsia="Calibri"/>
              </w:rPr>
            </w:pPr>
            <w:r w:rsidRPr="00CB461F">
              <w:rPr>
                <w:rFonts w:eastAsia="Calibri"/>
              </w:rPr>
              <w:t>-</w:t>
            </w:r>
          </w:p>
        </w:tc>
      </w:tr>
      <w:tr w:rsidR="00CB461F" w:rsidRPr="00CB461F" w14:paraId="4AF92256" w14:textId="77777777" w:rsidTr="00303894">
        <w:trPr>
          <w:trHeight w:val="267"/>
        </w:trPr>
        <w:tc>
          <w:tcPr>
            <w:tcW w:w="2405" w:type="dxa"/>
            <w:shd w:val="clear" w:color="auto" w:fill="B6DDE8"/>
          </w:tcPr>
          <w:p w14:paraId="06C09E70" w14:textId="4856F3D3" w:rsidR="00CB461F" w:rsidRPr="00CB461F" w:rsidRDefault="00303894" w:rsidP="00CB461F">
            <w:pPr>
              <w:rPr>
                <w:rFonts w:eastAsia="Calibri"/>
              </w:rPr>
            </w:pPr>
            <w:r w:rsidRPr="00303894">
              <w:rPr>
                <w:lang w:eastAsia="lt-LT"/>
              </w:rPr>
              <w:t>Irma Vaitaitienė</w:t>
            </w:r>
          </w:p>
        </w:tc>
        <w:tc>
          <w:tcPr>
            <w:tcW w:w="992" w:type="dxa"/>
            <w:vMerge/>
          </w:tcPr>
          <w:p w14:paraId="268AE1DE" w14:textId="77777777" w:rsidR="00CB461F" w:rsidRPr="00CB461F" w:rsidRDefault="00CB461F" w:rsidP="00CB461F">
            <w:pPr>
              <w:jc w:val="center"/>
              <w:rPr>
                <w:rFonts w:eastAsia="Calibri"/>
              </w:rPr>
            </w:pPr>
          </w:p>
        </w:tc>
        <w:tc>
          <w:tcPr>
            <w:tcW w:w="1279" w:type="dxa"/>
          </w:tcPr>
          <w:p w14:paraId="3907B773" w14:textId="5C7C5AB6" w:rsidR="00CB461F" w:rsidRPr="00CB461F" w:rsidRDefault="00D95D32" w:rsidP="00CB461F">
            <w:pPr>
              <w:jc w:val="center"/>
              <w:rPr>
                <w:rFonts w:eastAsia="Calibri"/>
              </w:rPr>
            </w:pPr>
            <w:r>
              <w:rPr>
                <w:rFonts w:eastAsia="Calibri"/>
              </w:rPr>
              <w:t>4</w:t>
            </w:r>
          </w:p>
        </w:tc>
        <w:tc>
          <w:tcPr>
            <w:tcW w:w="1415" w:type="dxa"/>
          </w:tcPr>
          <w:p w14:paraId="78157A49" w14:textId="79F105AE" w:rsidR="00CB461F" w:rsidRPr="00CB461F" w:rsidRDefault="00F14F06" w:rsidP="00CB461F">
            <w:pPr>
              <w:jc w:val="center"/>
              <w:rPr>
                <w:rFonts w:eastAsia="Calibri"/>
              </w:rPr>
            </w:pPr>
            <w:r>
              <w:rPr>
                <w:rFonts w:eastAsia="Calibri"/>
              </w:rPr>
              <w:t>1</w:t>
            </w:r>
          </w:p>
        </w:tc>
        <w:tc>
          <w:tcPr>
            <w:tcW w:w="1417" w:type="dxa"/>
          </w:tcPr>
          <w:p w14:paraId="6B01359B" w14:textId="1E10BC31" w:rsidR="00CB461F" w:rsidRPr="00CB461F" w:rsidRDefault="00D95D32" w:rsidP="00CB461F">
            <w:pPr>
              <w:jc w:val="center"/>
              <w:rPr>
                <w:rFonts w:eastAsia="Calibri"/>
              </w:rPr>
            </w:pPr>
            <w:r>
              <w:rPr>
                <w:rFonts w:eastAsia="Calibri"/>
              </w:rPr>
              <w:t>-</w:t>
            </w:r>
          </w:p>
        </w:tc>
        <w:tc>
          <w:tcPr>
            <w:tcW w:w="1276" w:type="dxa"/>
          </w:tcPr>
          <w:p w14:paraId="28727B83" w14:textId="009CD4C4" w:rsidR="00CB461F" w:rsidRPr="00CB461F" w:rsidRDefault="00F14F06" w:rsidP="00CB461F">
            <w:pPr>
              <w:jc w:val="center"/>
              <w:rPr>
                <w:rFonts w:eastAsia="Calibri"/>
              </w:rPr>
            </w:pPr>
            <w:r>
              <w:rPr>
                <w:rFonts w:eastAsia="Calibri"/>
              </w:rPr>
              <w:t>1</w:t>
            </w:r>
          </w:p>
        </w:tc>
      </w:tr>
      <w:tr w:rsidR="00CB461F" w:rsidRPr="00CB461F" w14:paraId="0EDBA6D0" w14:textId="77777777" w:rsidTr="00303894">
        <w:trPr>
          <w:trHeight w:val="291"/>
        </w:trPr>
        <w:tc>
          <w:tcPr>
            <w:tcW w:w="2405" w:type="dxa"/>
            <w:shd w:val="clear" w:color="auto" w:fill="B6DDE8"/>
          </w:tcPr>
          <w:p w14:paraId="52A71D99" w14:textId="11516542" w:rsidR="00CB461F" w:rsidRPr="00CB461F" w:rsidRDefault="00303894" w:rsidP="00CB461F">
            <w:pPr>
              <w:rPr>
                <w:rFonts w:eastAsia="Calibri"/>
              </w:rPr>
            </w:pPr>
            <w:r w:rsidRPr="00303894">
              <w:rPr>
                <w:szCs w:val="24"/>
              </w:rPr>
              <w:t>Rolandas Janickas</w:t>
            </w:r>
          </w:p>
        </w:tc>
        <w:tc>
          <w:tcPr>
            <w:tcW w:w="992" w:type="dxa"/>
            <w:vMerge/>
          </w:tcPr>
          <w:p w14:paraId="7027670C" w14:textId="77777777" w:rsidR="00CB461F" w:rsidRPr="00CB461F" w:rsidRDefault="00CB461F" w:rsidP="00CB461F">
            <w:pPr>
              <w:jc w:val="center"/>
              <w:rPr>
                <w:rFonts w:eastAsia="Calibri"/>
              </w:rPr>
            </w:pPr>
          </w:p>
        </w:tc>
        <w:tc>
          <w:tcPr>
            <w:tcW w:w="1279" w:type="dxa"/>
          </w:tcPr>
          <w:p w14:paraId="32A929DA" w14:textId="101F0DF6" w:rsidR="00CB461F" w:rsidRPr="00CB461F" w:rsidRDefault="00D95D32" w:rsidP="00CB461F">
            <w:pPr>
              <w:jc w:val="center"/>
              <w:rPr>
                <w:rFonts w:eastAsia="Calibri"/>
              </w:rPr>
            </w:pPr>
            <w:r>
              <w:rPr>
                <w:rFonts w:eastAsia="Calibri"/>
              </w:rPr>
              <w:t>4</w:t>
            </w:r>
          </w:p>
        </w:tc>
        <w:tc>
          <w:tcPr>
            <w:tcW w:w="1415" w:type="dxa"/>
          </w:tcPr>
          <w:p w14:paraId="1EB758A7" w14:textId="2F552AC8" w:rsidR="00CB461F" w:rsidRPr="00CB461F" w:rsidRDefault="00F14F06" w:rsidP="00CB461F">
            <w:pPr>
              <w:jc w:val="center"/>
              <w:rPr>
                <w:rFonts w:eastAsia="Calibri"/>
              </w:rPr>
            </w:pPr>
            <w:r>
              <w:rPr>
                <w:rFonts w:eastAsia="Calibri"/>
              </w:rPr>
              <w:t>1</w:t>
            </w:r>
          </w:p>
        </w:tc>
        <w:tc>
          <w:tcPr>
            <w:tcW w:w="1417" w:type="dxa"/>
          </w:tcPr>
          <w:p w14:paraId="7AD0CAF1" w14:textId="62916579" w:rsidR="00CB461F" w:rsidRPr="00CB461F" w:rsidRDefault="00F14F06" w:rsidP="00CB461F">
            <w:pPr>
              <w:jc w:val="center"/>
              <w:rPr>
                <w:rFonts w:eastAsia="Calibri"/>
              </w:rPr>
            </w:pPr>
            <w:r>
              <w:rPr>
                <w:rFonts w:eastAsia="Calibri"/>
              </w:rPr>
              <w:t>1</w:t>
            </w:r>
          </w:p>
        </w:tc>
        <w:tc>
          <w:tcPr>
            <w:tcW w:w="1276" w:type="dxa"/>
          </w:tcPr>
          <w:p w14:paraId="37067C4F" w14:textId="77777777" w:rsidR="00CB461F" w:rsidRPr="00CB461F" w:rsidRDefault="00CB461F" w:rsidP="00CB461F">
            <w:pPr>
              <w:jc w:val="center"/>
              <w:rPr>
                <w:rFonts w:eastAsia="Calibri"/>
              </w:rPr>
            </w:pPr>
            <w:r w:rsidRPr="00CB461F">
              <w:rPr>
                <w:rFonts w:eastAsia="Calibri"/>
              </w:rPr>
              <w:t>-</w:t>
            </w:r>
          </w:p>
        </w:tc>
      </w:tr>
      <w:tr w:rsidR="00CB461F" w:rsidRPr="00CB461F" w14:paraId="26ACA0CA" w14:textId="77777777" w:rsidTr="00303894">
        <w:trPr>
          <w:trHeight w:val="267"/>
        </w:trPr>
        <w:tc>
          <w:tcPr>
            <w:tcW w:w="2405" w:type="dxa"/>
            <w:shd w:val="clear" w:color="auto" w:fill="B6DDE8"/>
          </w:tcPr>
          <w:p w14:paraId="1B9B3150" w14:textId="1B6DE283" w:rsidR="00CB461F" w:rsidRPr="00CB461F" w:rsidRDefault="00303894" w:rsidP="00CB461F">
            <w:pPr>
              <w:rPr>
                <w:rFonts w:eastAsia="Calibri"/>
              </w:rPr>
            </w:pPr>
            <w:r w:rsidRPr="00303894">
              <w:rPr>
                <w:szCs w:val="24"/>
              </w:rPr>
              <w:t>Valdas Petronis</w:t>
            </w:r>
          </w:p>
        </w:tc>
        <w:tc>
          <w:tcPr>
            <w:tcW w:w="992" w:type="dxa"/>
            <w:vMerge/>
          </w:tcPr>
          <w:p w14:paraId="2BBF82EF" w14:textId="77777777" w:rsidR="00CB461F" w:rsidRPr="00CB461F" w:rsidRDefault="00CB461F" w:rsidP="00CB461F">
            <w:pPr>
              <w:jc w:val="center"/>
              <w:rPr>
                <w:rFonts w:eastAsia="Calibri"/>
              </w:rPr>
            </w:pPr>
          </w:p>
        </w:tc>
        <w:tc>
          <w:tcPr>
            <w:tcW w:w="1279" w:type="dxa"/>
          </w:tcPr>
          <w:p w14:paraId="6D0EDF7E" w14:textId="1EB3FEB7" w:rsidR="00CB461F" w:rsidRPr="00CB461F" w:rsidRDefault="00D95D32" w:rsidP="00CB461F">
            <w:pPr>
              <w:jc w:val="center"/>
              <w:rPr>
                <w:rFonts w:eastAsia="Calibri"/>
              </w:rPr>
            </w:pPr>
            <w:r>
              <w:rPr>
                <w:rFonts w:eastAsia="Calibri"/>
              </w:rPr>
              <w:t>6</w:t>
            </w:r>
          </w:p>
        </w:tc>
        <w:tc>
          <w:tcPr>
            <w:tcW w:w="1415" w:type="dxa"/>
          </w:tcPr>
          <w:p w14:paraId="6EA0C85A" w14:textId="03105EEC" w:rsidR="00CB461F" w:rsidRPr="00CB461F" w:rsidRDefault="00D95D32" w:rsidP="00CB461F">
            <w:pPr>
              <w:jc w:val="center"/>
              <w:rPr>
                <w:rFonts w:eastAsia="Calibri"/>
              </w:rPr>
            </w:pPr>
            <w:r>
              <w:rPr>
                <w:rFonts w:eastAsia="Calibri"/>
              </w:rPr>
              <w:t>-</w:t>
            </w:r>
          </w:p>
        </w:tc>
        <w:tc>
          <w:tcPr>
            <w:tcW w:w="1417" w:type="dxa"/>
          </w:tcPr>
          <w:p w14:paraId="29330DF9" w14:textId="26164347" w:rsidR="00CB461F" w:rsidRPr="00CB461F" w:rsidRDefault="00D95D32" w:rsidP="00CB461F">
            <w:pPr>
              <w:jc w:val="center"/>
              <w:rPr>
                <w:rFonts w:eastAsia="Calibri"/>
              </w:rPr>
            </w:pPr>
            <w:r>
              <w:rPr>
                <w:rFonts w:eastAsia="Calibri"/>
              </w:rPr>
              <w:t>-</w:t>
            </w:r>
          </w:p>
        </w:tc>
        <w:tc>
          <w:tcPr>
            <w:tcW w:w="1276" w:type="dxa"/>
          </w:tcPr>
          <w:p w14:paraId="26ABC4E1" w14:textId="77777777" w:rsidR="00CB461F" w:rsidRPr="00CB461F" w:rsidRDefault="00CB461F" w:rsidP="00CB461F">
            <w:pPr>
              <w:jc w:val="center"/>
              <w:rPr>
                <w:rFonts w:eastAsia="Calibri"/>
              </w:rPr>
            </w:pPr>
            <w:r w:rsidRPr="00CB461F">
              <w:rPr>
                <w:rFonts w:eastAsia="Calibri"/>
              </w:rPr>
              <w:t>-</w:t>
            </w:r>
          </w:p>
        </w:tc>
      </w:tr>
      <w:tr w:rsidR="00CB461F" w:rsidRPr="00CB461F" w14:paraId="5E04654D" w14:textId="77777777" w:rsidTr="00303894">
        <w:trPr>
          <w:trHeight w:val="267"/>
        </w:trPr>
        <w:tc>
          <w:tcPr>
            <w:tcW w:w="2405" w:type="dxa"/>
            <w:shd w:val="clear" w:color="auto" w:fill="B6DDE8"/>
          </w:tcPr>
          <w:p w14:paraId="47A12FF0" w14:textId="4931BBFC" w:rsidR="00CB461F" w:rsidRPr="00CB461F" w:rsidRDefault="00303894" w:rsidP="00CB461F">
            <w:pPr>
              <w:rPr>
                <w:rFonts w:eastAsia="Calibri"/>
              </w:rPr>
            </w:pPr>
            <w:r w:rsidRPr="00303894">
              <w:rPr>
                <w:szCs w:val="24"/>
              </w:rPr>
              <w:t>Danutė Užkurėlytė</w:t>
            </w:r>
          </w:p>
        </w:tc>
        <w:tc>
          <w:tcPr>
            <w:tcW w:w="992" w:type="dxa"/>
            <w:vMerge/>
          </w:tcPr>
          <w:p w14:paraId="0DB8D9C4" w14:textId="77777777" w:rsidR="00CB461F" w:rsidRPr="00CB461F" w:rsidRDefault="00CB461F" w:rsidP="00CB461F">
            <w:pPr>
              <w:jc w:val="center"/>
              <w:rPr>
                <w:rFonts w:eastAsia="Calibri"/>
              </w:rPr>
            </w:pPr>
          </w:p>
        </w:tc>
        <w:tc>
          <w:tcPr>
            <w:tcW w:w="1279" w:type="dxa"/>
          </w:tcPr>
          <w:p w14:paraId="0786E3F0" w14:textId="6CDB3DD0" w:rsidR="00CB461F" w:rsidRPr="00CB461F" w:rsidRDefault="00D95D32" w:rsidP="00CB461F">
            <w:pPr>
              <w:jc w:val="center"/>
              <w:rPr>
                <w:rFonts w:eastAsia="Calibri"/>
              </w:rPr>
            </w:pPr>
            <w:r>
              <w:rPr>
                <w:rFonts w:eastAsia="Calibri"/>
              </w:rPr>
              <w:t>5</w:t>
            </w:r>
          </w:p>
        </w:tc>
        <w:tc>
          <w:tcPr>
            <w:tcW w:w="1415" w:type="dxa"/>
          </w:tcPr>
          <w:p w14:paraId="5CE31659" w14:textId="13262E32" w:rsidR="00CB461F" w:rsidRPr="00CB461F" w:rsidRDefault="00F14F06" w:rsidP="00CB461F">
            <w:pPr>
              <w:jc w:val="center"/>
              <w:rPr>
                <w:rFonts w:eastAsia="Calibri"/>
              </w:rPr>
            </w:pPr>
            <w:r>
              <w:rPr>
                <w:rFonts w:eastAsia="Calibri"/>
              </w:rPr>
              <w:t>1</w:t>
            </w:r>
          </w:p>
        </w:tc>
        <w:tc>
          <w:tcPr>
            <w:tcW w:w="1417" w:type="dxa"/>
          </w:tcPr>
          <w:p w14:paraId="0EDD3BF6" w14:textId="3F1FAF78" w:rsidR="00CB461F" w:rsidRPr="00CB461F" w:rsidRDefault="00D95D32" w:rsidP="00CB461F">
            <w:pPr>
              <w:jc w:val="center"/>
              <w:rPr>
                <w:rFonts w:eastAsia="Calibri"/>
              </w:rPr>
            </w:pPr>
            <w:r>
              <w:rPr>
                <w:rFonts w:eastAsia="Calibri"/>
              </w:rPr>
              <w:t>-</w:t>
            </w:r>
          </w:p>
        </w:tc>
        <w:tc>
          <w:tcPr>
            <w:tcW w:w="1276" w:type="dxa"/>
          </w:tcPr>
          <w:p w14:paraId="585207DC" w14:textId="77777777" w:rsidR="00CB461F" w:rsidRPr="00CB461F" w:rsidRDefault="00CB461F" w:rsidP="00CB461F">
            <w:pPr>
              <w:jc w:val="center"/>
              <w:rPr>
                <w:rFonts w:eastAsia="Calibri"/>
              </w:rPr>
            </w:pPr>
            <w:r w:rsidRPr="00CB461F">
              <w:rPr>
                <w:rFonts w:eastAsia="Calibri"/>
              </w:rPr>
              <w:t>-</w:t>
            </w:r>
          </w:p>
        </w:tc>
      </w:tr>
      <w:tr w:rsidR="00CB461F" w:rsidRPr="00CB461F" w14:paraId="78FF980A" w14:textId="77777777" w:rsidTr="00303894">
        <w:trPr>
          <w:trHeight w:val="392"/>
        </w:trPr>
        <w:tc>
          <w:tcPr>
            <w:tcW w:w="2405" w:type="dxa"/>
            <w:shd w:val="clear" w:color="auto" w:fill="B6DDE8"/>
          </w:tcPr>
          <w:p w14:paraId="69AF27C4" w14:textId="2BDB2BC4" w:rsidR="00CB461F" w:rsidRPr="00CB461F" w:rsidRDefault="00303894" w:rsidP="00303894">
            <w:pPr>
              <w:tabs>
                <w:tab w:val="left" w:pos="7614"/>
              </w:tabs>
              <w:rPr>
                <w:szCs w:val="24"/>
              </w:rPr>
            </w:pPr>
            <w:r w:rsidRPr="00303894">
              <w:rPr>
                <w:szCs w:val="24"/>
              </w:rPr>
              <w:t>Arnoldas Vilčinskas</w:t>
            </w:r>
          </w:p>
        </w:tc>
        <w:tc>
          <w:tcPr>
            <w:tcW w:w="992" w:type="dxa"/>
            <w:vMerge/>
          </w:tcPr>
          <w:p w14:paraId="7F958083" w14:textId="77777777" w:rsidR="00CB461F" w:rsidRPr="00CB461F" w:rsidRDefault="00CB461F" w:rsidP="00CB461F">
            <w:pPr>
              <w:jc w:val="center"/>
              <w:rPr>
                <w:rFonts w:eastAsia="Calibri"/>
              </w:rPr>
            </w:pPr>
          </w:p>
        </w:tc>
        <w:tc>
          <w:tcPr>
            <w:tcW w:w="1279" w:type="dxa"/>
          </w:tcPr>
          <w:p w14:paraId="25701A87" w14:textId="0289F21D" w:rsidR="00CB461F" w:rsidRPr="00CB461F" w:rsidRDefault="00D95D32" w:rsidP="00CB461F">
            <w:pPr>
              <w:jc w:val="center"/>
              <w:rPr>
                <w:rFonts w:eastAsia="Calibri"/>
              </w:rPr>
            </w:pPr>
            <w:r>
              <w:rPr>
                <w:rFonts w:eastAsia="Calibri"/>
              </w:rPr>
              <w:t>3</w:t>
            </w:r>
          </w:p>
        </w:tc>
        <w:tc>
          <w:tcPr>
            <w:tcW w:w="1415" w:type="dxa"/>
          </w:tcPr>
          <w:p w14:paraId="58B6671C" w14:textId="58F3D396" w:rsidR="00CB461F" w:rsidRPr="00CB461F" w:rsidRDefault="00F14F06" w:rsidP="00CB461F">
            <w:pPr>
              <w:jc w:val="center"/>
              <w:rPr>
                <w:rFonts w:eastAsia="Calibri"/>
              </w:rPr>
            </w:pPr>
            <w:r>
              <w:rPr>
                <w:rFonts w:eastAsia="Calibri"/>
              </w:rPr>
              <w:t>2</w:t>
            </w:r>
          </w:p>
        </w:tc>
        <w:tc>
          <w:tcPr>
            <w:tcW w:w="1417" w:type="dxa"/>
          </w:tcPr>
          <w:p w14:paraId="689E949B" w14:textId="3D9B73AC" w:rsidR="00CB461F" w:rsidRPr="00CB461F" w:rsidRDefault="00D95D32" w:rsidP="00CB461F">
            <w:pPr>
              <w:jc w:val="center"/>
              <w:rPr>
                <w:rFonts w:eastAsia="Calibri"/>
              </w:rPr>
            </w:pPr>
            <w:r>
              <w:rPr>
                <w:rFonts w:eastAsia="Calibri"/>
              </w:rPr>
              <w:t>-</w:t>
            </w:r>
          </w:p>
        </w:tc>
        <w:tc>
          <w:tcPr>
            <w:tcW w:w="1276" w:type="dxa"/>
          </w:tcPr>
          <w:p w14:paraId="26B7ECAE" w14:textId="26D90D5C" w:rsidR="00CB461F" w:rsidRPr="00CB461F" w:rsidRDefault="00F14F06" w:rsidP="00CB461F">
            <w:pPr>
              <w:jc w:val="center"/>
              <w:rPr>
                <w:rFonts w:eastAsia="Calibri"/>
              </w:rPr>
            </w:pPr>
            <w:r>
              <w:rPr>
                <w:rFonts w:eastAsia="Calibri"/>
              </w:rPr>
              <w:t>1</w:t>
            </w:r>
          </w:p>
        </w:tc>
      </w:tr>
      <w:bookmarkEnd w:id="0"/>
    </w:tbl>
    <w:p w14:paraId="0078A6C1" w14:textId="77777777" w:rsidR="00CB461F" w:rsidRPr="00CB461F" w:rsidRDefault="00CB461F" w:rsidP="00CB461F">
      <w:pPr>
        <w:tabs>
          <w:tab w:val="left" w:pos="720"/>
        </w:tabs>
        <w:jc w:val="center"/>
        <w:rPr>
          <w:b/>
        </w:rPr>
      </w:pPr>
    </w:p>
    <w:p w14:paraId="1EB58663" w14:textId="77777777" w:rsidR="00303894" w:rsidRPr="00CB461F" w:rsidRDefault="00303894" w:rsidP="00303894">
      <w:pPr>
        <w:tabs>
          <w:tab w:val="left" w:pos="7614"/>
        </w:tabs>
        <w:rPr>
          <w:szCs w:val="24"/>
        </w:rPr>
      </w:pPr>
    </w:p>
    <w:p w14:paraId="744C72B2" w14:textId="7C07B3F0" w:rsidR="00CB461F" w:rsidRDefault="00303894" w:rsidP="00CB461F">
      <w:pPr>
        <w:tabs>
          <w:tab w:val="left" w:pos="7614"/>
        </w:tabs>
        <w:rPr>
          <w:szCs w:val="24"/>
        </w:rPr>
      </w:pPr>
      <w:r>
        <w:rPr>
          <w:szCs w:val="24"/>
        </w:rPr>
        <w:t>Etikos</w:t>
      </w:r>
      <w:r w:rsidR="00CB461F" w:rsidRPr="00CB461F">
        <w:rPr>
          <w:szCs w:val="24"/>
        </w:rPr>
        <w:t xml:space="preserve"> komisijos protokolai, sprendimai ir metinės veiklos ataskaitos viešinami Ukmergės rajono savivaldybės internetinėje svetainėje: </w:t>
      </w:r>
      <w:hyperlink r:id="rId8" w:history="1">
        <w:r w:rsidR="00D95D32" w:rsidRPr="00E73D23">
          <w:rPr>
            <w:rStyle w:val="Hipersaitas"/>
            <w:szCs w:val="24"/>
          </w:rPr>
          <w:t>https://www.ukmerge.lt/etikos-komisija/</w:t>
        </w:r>
      </w:hyperlink>
    </w:p>
    <w:p w14:paraId="1DCCAFB4" w14:textId="77777777" w:rsidR="00D95D32" w:rsidRPr="00CB461F" w:rsidRDefault="00D95D32" w:rsidP="00CB461F">
      <w:pPr>
        <w:tabs>
          <w:tab w:val="left" w:pos="7614"/>
        </w:tabs>
        <w:rPr>
          <w:szCs w:val="24"/>
        </w:rPr>
      </w:pPr>
    </w:p>
    <w:p w14:paraId="428FB9F9" w14:textId="434285DE" w:rsidR="00C84CA5" w:rsidRDefault="00C84CA5" w:rsidP="00A43B75">
      <w:pPr>
        <w:jc w:val="both"/>
        <w:rPr>
          <w:u w:val="single"/>
        </w:rPr>
      </w:pPr>
    </w:p>
    <w:p w14:paraId="6A166F1C" w14:textId="77777777" w:rsidR="002548D4" w:rsidRDefault="002548D4" w:rsidP="00A43B75">
      <w:pPr>
        <w:jc w:val="both"/>
        <w:rPr>
          <w:u w:val="single"/>
        </w:rPr>
      </w:pPr>
    </w:p>
    <w:p w14:paraId="5D4757A8" w14:textId="77777777" w:rsidR="00303894" w:rsidRDefault="00303894" w:rsidP="00A43B75">
      <w:pPr>
        <w:jc w:val="both"/>
        <w:rPr>
          <w:u w:val="single"/>
        </w:rPr>
      </w:pPr>
    </w:p>
    <w:p w14:paraId="5A76A114" w14:textId="57466B78" w:rsidR="00A43B75" w:rsidRDefault="00A43B75" w:rsidP="00A43B75">
      <w:pPr>
        <w:tabs>
          <w:tab w:val="left" w:pos="7123"/>
        </w:tabs>
        <w:jc w:val="both"/>
      </w:pPr>
      <w:r w:rsidRPr="00A43B75">
        <w:t>Etikos komisijos pirminink</w:t>
      </w:r>
      <w:r w:rsidR="00890448">
        <w:t>as</w:t>
      </w:r>
      <w:r>
        <w:tab/>
      </w:r>
      <w:r w:rsidR="00890448">
        <w:t>Giedrius Auglys</w:t>
      </w:r>
    </w:p>
    <w:p w14:paraId="5621F34B" w14:textId="77777777" w:rsidR="00EF7982" w:rsidRDefault="00EF7982" w:rsidP="00A43B75">
      <w:pPr>
        <w:tabs>
          <w:tab w:val="left" w:pos="7123"/>
        </w:tabs>
        <w:jc w:val="both"/>
      </w:pPr>
    </w:p>
    <w:p w14:paraId="52A1E52A" w14:textId="77777777" w:rsidR="00EF7982" w:rsidRDefault="00EF7982" w:rsidP="00A43B75">
      <w:pPr>
        <w:tabs>
          <w:tab w:val="left" w:pos="7123"/>
        </w:tabs>
        <w:jc w:val="both"/>
      </w:pPr>
    </w:p>
    <w:p w14:paraId="09915BB1" w14:textId="77777777" w:rsidR="00EF7982" w:rsidRDefault="00EF7982" w:rsidP="00A43B75">
      <w:pPr>
        <w:tabs>
          <w:tab w:val="left" w:pos="7123"/>
        </w:tabs>
        <w:jc w:val="both"/>
      </w:pPr>
    </w:p>
    <w:p w14:paraId="68DB6A76" w14:textId="77777777" w:rsidR="0029388B" w:rsidRDefault="0029388B" w:rsidP="00A43B75">
      <w:pPr>
        <w:tabs>
          <w:tab w:val="left" w:pos="7123"/>
        </w:tabs>
        <w:jc w:val="both"/>
      </w:pPr>
    </w:p>
    <w:p w14:paraId="05228AAC" w14:textId="77777777" w:rsidR="00EF7982" w:rsidRDefault="00EF7982" w:rsidP="00EF7982">
      <w:r>
        <w:t>Ataskaitą parengė</w:t>
      </w:r>
    </w:p>
    <w:p w14:paraId="192EA089" w14:textId="77777777" w:rsidR="00EF7982" w:rsidRDefault="00EF7982" w:rsidP="00EF7982">
      <w:r>
        <w:t xml:space="preserve">Civilinės metrikacijos ir dokumentų valdymo skyriaus </w:t>
      </w:r>
    </w:p>
    <w:p w14:paraId="2CD15627" w14:textId="5B3CF11E" w:rsidR="00EF7982" w:rsidRPr="003F31A1" w:rsidRDefault="00EF7982" w:rsidP="00EF7982">
      <w:r>
        <w:t>vyr</w:t>
      </w:r>
      <w:r w:rsidR="004871A4">
        <w:t>iausioji</w:t>
      </w:r>
      <w:r>
        <w:t xml:space="preserve"> specialistė</w:t>
      </w:r>
      <w:r>
        <w:tab/>
      </w:r>
      <w:r>
        <w:tab/>
      </w:r>
      <w:r>
        <w:tab/>
      </w:r>
      <w:r>
        <w:tab/>
      </w:r>
      <w:r w:rsidR="00370995">
        <w:t xml:space="preserve">            </w:t>
      </w:r>
      <w:r>
        <w:t>Diana Tiškuvienė</w:t>
      </w:r>
    </w:p>
    <w:p w14:paraId="01A31DD1" w14:textId="77777777" w:rsidR="00EF7982" w:rsidRPr="00A43B75" w:rsidRDefault="00EF7982" w:rsidP="00A43B75">
      <w:pPr>
        <w:tabs>
          <w:tab w:val="left" w:pos="7123"/>
        </w:tabs>
        <w:jc w:val="both"/>
      </w:pPr>
    </w:p>
    <w:sectPr w:rsidR="00EF7982" w:rsidRPr="00A43B75" w:rsidSect="007C7430">
      <w:headerReference w:type="default" r:id="rId9"/>
      <w:foot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988E" w14:textId="77777777" w:rsidR="00F87C9A" w:rsidRDefault="00F87C9A" w:rsidP="007C7430">
      <w:r>
        <w:separator/>
      </w:r>
    </w:p>
  </w:endnote>
  <w:endnote w:type="continuationSeparator" w:id="0">
    <w:p w14:paraId="3ABEA184" w14:textId="77777777" w:rsidR="00F87C9A" w:rsidRDefault="00F87C9A" w:rsidP="007C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07F8" w14:textId="250C4390" w:rsidR="001B3E35" w:rsidRPr="001B3E35" w:rsidRDefault="001B3E35" w:rsidP="001B3E35">
    <w:pPr>
      <w:tabs>
        <w:tab w:val="center" w:pos="4819"/>
        <w:tab w:val="right" w:pos="9638"/>
      </w:tabs>
      <w:rPr>
        <w:rFonts w:eastAsia="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4316" w14:textId="77777777" w:rsidR="00F87C9A" w:rsidRDefault="00F87C9A" w:rsidP="007C7430">
      <w:r>
        <w:separator/>
      </w:r>
    </w:p>
  </w:footnote>
  <w:footnote w:type="continuationSeparator" w:id="0">
    <w:p w14:paraId="49CB6ED0" w14:textId="77777777" w:rsidR="00F87C9A" w:rsidRDefault="00F87C9A" w:rsidP="007C7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544770"/>
      <w:docPartObj>
        <w:docPartGallery w:val="Page Numbers (Top of Page)"/>
        <w:docPartUnique/>
      </w:docPartObj>
    </w:sdtPr>
    <w:sdtEndPr/>
    <w:sdtContent>
      <w:p w14:paraId="1DA872ED" w14:textId="03E4D76E" w:rsidR="007C7430" w:rsidRDefault="007C7430" w:rsidP="007C743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6D57"/>
    <w:multiLevelType w:val="hybridMultilevel"/>
    <w:tmpl w:val="AB068A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A47790"/>
    <w:multiLevelType w:val="hybridMultilevel"/>
    <w:tmpl w:val="EA0C96B2"/>
    <w:lvl w:ilvl="0" w:tplc="24A0960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166685"/>
    <w:multiLevelType w:val="hybridMultilevel"/>
    <w:tmpl w:val="93DCE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323EAB"/>
    <w:multiLevelType w:val="hybridMultilevel"/>
    <w:tmpl w:val="ADB8E50C"/>
    <w:lvl w:ilvl="0" w:tplc="8528D8EA">
      <w:start w:val="1"/>
      <w:numFmt w:val="decimal"/>
      <w:lvlText w:val="%1."/>
      <w:lvlJc w:val="left"/>
      <w:pPr>
        <w:ind w:left="430" w:hanging="360"/>
      </w:pPr>
      <w:rPr>
        <w:rFonts w:hint="default"/>
      </w:r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4" w15:restartNumberingAfterBreak="0">
    <w:nsid w:val="2CB56743"/>
    <w:multiLevelType w:val="hybridMultilevel"/>
    <w:tmpl w:val="2EFE5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245BEF"/>
    <w:multiLevelType w:val="hybridMultilevel"/>
    <w:tmpl w:val="F2FAE008"/>
    <w:lvl w:ilvl="0" w:tplc="04270001">
      <w:start w:val="20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EB1B0B"/>
    <w:multiLevelType w:val="hybridMultilevel"/>
    <w:tmpl w:val="18CCAF04"/>
    <w:lvl w:ilvl="0" w:tplc="8528D8EA">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7" w15:restartNumberingAfterBreak="0">
    <w:nsid w:val="45FC11BC"/>
    <w:multiLevelType w:val="hybridMultilevel"/>
    <w:tmpl w:val="A3BAA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0474A9"/>
    <w:multiLevelType w:val="hybridMultilevel"/>
    <w:tmpl w:val="53962A7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AC7174"/>
    <w:multiLevelType w:val="hybridMultilevel"/>
    <w:tmpl w:val="8A8CBB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1D0A00"/>
    <w:multiLevelType w:val="hybridMultilevel"/>
    <w:tmpl w:val="A16E8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8071D2"/>
    <w:multiLevelType w:val="hybridMultilevel"/>
    <w:tmpl w:val="97E243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1D16B3"/>
    <w:multiLevelType w:val="hybridMultilevel"/>
    <w:tmpl w:val="6D909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6200076">
    <w:abstractNumId w:val="1"/>
  </w:num>
  <w:num w:numId="2" w16cid:durableId="300161269">
    <w:abstractNumId w:val="10"/>
  </w:num>
  <w:num w:numId="3" w16cid:durableId="106508699">
    <w:abstractNumId w:val="2"/>
  </w:num>
  <w:num w:numId="4" w16cid:durableId="1726835690">
    <w:abstractNumId w:val="8"/>
  </w:num>
  <w:num w:numId="5" w16cid:durableId="936407230">
    <w:abstractNumId w:val="5"/>
  </w:num>
  <w:num w:numId="6" w16cid:durableId="1097754011">
    <w:abstractNumId w:val="12"/>
  </w:num>
  <w:num w:numId="7" w16cid:durableId="1874078510">
    <w:abstractNumId w:val="11"/>
  </w:num>
  <w:num w:numId="8" w16cid:durableId="294603596">
    <w:abstractNumId w:val="0"/>
  </w:num>
  <w:num w:numId="9" w16cid:durableId="224219549">
    <w:abstractNumId w:val="6"/>
  </w:num>
  <w:num w:numId="10" w16cid:durableId="1484203251">
    <w:abstractNumId w:val="3"/>
  </w:num>
  <w:num w:numId="11" w16cid:durableId="1785730873">
    <w:abstractNumId w:val="4"/>
  </w:num>
  <w:num w:numId="12" w16cid:durableId="1897277928">
    <w:abstractNumId w:val="7"/>
  </w:num>
  <w:num w:numId="13" w16cid:durableId="1923248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34"/>
    <w:rsid w:val="00011DC0"/>
    <w:rsid w:val="0001483C"/>
    <w:rsid w:val="000632E4"/>
    <w:rsid w:val="00087A30"/>
    <w:rsid w:val="000D374E"/>
    <w:rsid w:val="000E0411"/>
    <w:rsid w:val="000E2B48"/>
    <w:rsid w:val="000F54E1"/>
    <w:rsid w:val="00126845"/>
    <w:rsid w:val="001551CC"/>
    <w:rsid w:val="00164444"/>
    <w:rsid w:val="00176DD7"/>
    <w:rsid w:val="00183598"/>
    <w:rsid w:val="00183B01"/>
    <w:rsid w:val="00196809"/>
    <w:rsid w:val="00197272"/>
    <w:rsid w:val="001B3E35"/>
    <w:rsid w:val="001B3F1A"/>
    <w:rsid w:val="001C007F"/>
    <w:rsid w:val="001C6D39"/>
    <w:rsid w:val="001E3065"/>
    <w:rsid w:val="001E517A"/>
    <w:rsid w:val="001F5AE5"/>
    <w:rsid w:val="001F5DE4"/>
    <w:rsid w:val="00211094"/>
    <w:rsid w:val="002207CE"/>
    <w:rsid w:val="00225704"/>
    <w:rsid w:val="002548D4"/>
    <w:rsid w:val="0026659D"/>
    <w:rsid w:val="002828AE"/>
    <w:rsid w:val="0029388B"/>
    <w:rsid w:val="002A0A35"/>
    <w:rsid w:val="002B64C6"/>
    <w:rsid w:val="002C314C"/>
    <w:rsid w:val="00302F17"/>
    <w:rsid w:val="00303894"/>
    <w:rsid w:val="003233D1"/>
    <w:rsid w:val="00327ED8"/>
    <w:rsid w:val="00333FFC"/>
    <w:rsid w:val="0033435A"/>
    <w:rsid w:val="00345EFD"/>
    <w:rsid w:val="0035561A"/>
    <w:rsid w:val="00366734"/>
    <w:rsid w:val="00370995"/>
    <w:rsid w:val="00380B84"/>
    <w:rsid w:val="00394E2F"/>
    <w:rsid w:val="003A0FA3"/>
    <w:rsid w:val="003A4550"/>
    <w:rsid w:val="003A5ABA"/>
    <w:rsid w:val="003B52DD"/>
    <w:rsid w:val="003C3951"/>
    <w:rsid w:val="003C7EF9"/>
    <w:rsid w:val="003D7536"/>
    <w:rsid w:val="003D7C65"/>
    <w:rsid w:val="003E6E89"/>
    <w:rsid w:val="00406C0D"/>
    <w:rsid w:val="00412CF1"/>
    <w:rsid w:val="00432004"/>
    <w:rsid w:val="00441615"/>
    <w:rsid w:val="00451F30"/>
    <w:rsid w:val="00452231"/>
    <w:rsid w:val="00460A0C"/>
    <w:rsid w:val="004678D4"/>
    <w:rsid w:val="00474940"/>
    <w:rsid w:val="004871A4"/>
    <w:rsid w:val="004B0ED7"/>
    <w:rsid w:val="004C49E1"/>
    <w:rsid w:val="004D373D"/>
    <w:rsid w:val="004D4B4C"/>
    <w:rsid w:val="004D7D93"/>
    <w:rsid w:val="004E075D"/>
    <w:rsid w:val="00500A90"/>
    <w:rsid w:val="00506650"/>
    <w:rsid w:val="00512616"/>
    <w:rsid w:val="005131A8"/>
    <w:rsid w:val="00520EFB"/>
    <w:rsid w:val="00560C70"/>
    <w:rsid w:val="00575C03"/>
    <w:rsid w:val="00596281"/>
    <w:rsid w:val="005B036B"/>
    <w:rsid w:val="005B1457"/>
    <w:rsid w:val="005C4533"/>
    <w:rsid w:val="005D51B9"/>
    <w:rsid w:val="005E15C3"/>
    <w:rsid w:val="00607776"/>
    <w:rsid w:val="006352D7"/>
    <w:rsid w:val="00642E9C"/>
    <w:rsid w:val="00643EA7"/>
    <w:rsid w:val="006536BA"/>
    <w:rsid w:val="006610C1"/>
    <w:rsid w:val="006618FA"/>
    <w:rsid w:val="00661D15"/>
    <w:rsid w:val="006660F8"/>
    <w:rsid w:val="0066728A"/>
    <w:rsid w:val="00670A9A"/>
    <w:rsid w:val="00682E20"/>
    <w:rsid w:val="00686F17"/>
    <w:rsid w:val="006A3E3F"/>
    <w:rsid w:val="006A7D4F"/>
    <w:rsid w:val="006B22EF"/>
    <w:rsid w:val="006C1274"/>
    <w:rsid w:val="006C380D"/>
    <w:rsid w:val="006C7F07"/>
    <w:rsid w:val="006D08D8"/>
    <w:rsid w:val="006E0276"/>
    <w:rsid w:val="006E43F2"/>
    <w:rsid w:val="006E6EEC"/>
    <w:rsid w:val="006E7F9A"/>
    <w:rsid w:val="006F044F"/>
    <w:rsid w:val="006F0869"/>
    <w:rsid w:val="006F4670"/>
    <w:rsid w:val="0070163B"/>
    <w:rsid w:val="0072066E"/>
    <w:rsid w:val="00736DF6"/>
    <w:rsid w:val="00740509"/>
    <w:rsid w:val="007459B9"/>
    <w:rsid w:val="00753D25"/>
    <w:rsid w:val="00756134"/>
    <w:rsid w:val="00770B17"/>
    <w:rsid w:val="00793188"/>
    <w:rsid w:val="007A63D5"/>
    <w:rsid w:val="007B05E2"/>
    <w:rsid w:val="007B1DC8"/>
    <w:rsid w:val="007C6366"/>
    <w:rsid w:val="007C7430"/>
    <w:rsid w:val="007F7DE4"/>
    <w:rsid w:val="0080179D"/>
    <w:rsid w:val="008043E1"/>
    <w:rsid w:val="0080518F"/>
    <w:rsid w:val="00827EA9"/>
    <w:rsid w:val="0084520D"/>
    <w:rsid w:val="008468E9"/>
    <w:rsid w:val="00855116"/>
    <w:rsid w:val="00855341"/>
    <w:rsid w:val="008858B4"/>
    <w:rsid w:val="00886818"/>
    <w:rsid w:val="00890448"/>
    <w:rsid w:val="008B50F3"/>
    <w:rsid w:val="008C523B"/>
    <w:rsid w:val="008D51B6"/>
    <w:rsid w:val="008E5C0B"/>
    <w:rsid w:val="008E6CDD"/>
    <w:rsid w:val="008E6EF0"/>
    <w:rsid w:val="008F172E"/>
    <w:rsid w:val="008F338B"/>
    <w:rsid w:val="00903819"/>
    <w:rsid w:val="00904D02"/>
    <w:rsid w:val="00926158"/>
    <w:rsid w:val="00963395"/>
    <w:rsid w:val="00982C5C"/>
    <w:rsid w:val="00992142"/>
    <w:rsid w:val="009C22CB"/>
    <w:rsid w:val="009C52DE"/>
    <w:rsid w:val="009C5F40"/>
    <w:rsid w:val="009F659E"/>
    <w:rsid w:val="00A10416"/>
    <w:rsid w:val="00A150CC"/>
    <w:rsid w:val="00A31DE9"/>
    <w:rsid w:val="00A43B75"/>
    <w:rsid w:val="00A56156"/>
    <w:rsid w:val="00A6007C"/>
    <w:rsid w:val="00A606AF"/>
    <w:rsid w:val="00A71012"/>
    <w:rsid w:val="00A74617"/>
    <w:rsid w:val="00A90467"/>
    <w:rsid w:val="00AB5C22"/>
    <w:rsid w:val="00AC0C8A"/>
    <w:rsid w:val="00AD634C"/>
    <w:rsid w:val="00AE13EC"/>
    <w:rsid w:val="00AE2661"/>
    <w:rsid w:val="00AF2698"/>
    <w:rsid w:val="00AF5677"/>
    <w:rsid w:val="00AF5F66"/>
    <w:rsid w:val="00AF7705"/>
    <w:rsid w:val="00B00F74"/>
    <w:rsid w:val="00B023B7"/>
    <w:rsid w:val="00B0372A"/>
    <w:rsid w:val="00B1002F"/>
    <w:rsid w:val="00B13AEB"/>
    <w:rsid w:val="00B42153"/>
    <w:rsid w:val="00B61304"/>
    <w:rsid w:val="00B63BB1"/>
    <w:rsid w:val="00B72776"/>
    <w:rsid w:val="00B72BF2"/>
    <w:rsid w:val="00B806AC"/>
    <w:rsid w:val="00B84931"/>
    <w:rsid w:val="00B85395"/>
    <w:rsid w:val="00BB6AC0"/>
    <w:rsid w:val="00BC1667"/>
    <w:rsid w:val="00BF0EDC"/>
    <w:rsid w:val="00C144DA"/>
    <w:rsid w:val="00C32FD6"/>
    <w:rsid w:val="00C4032E"/>
    <w:rsid w:val="00C419DB"/>
    <w:rsid w:val="00C509E1"/>
    <w:rsid w:val="00C56995"/>
    <w:rsid w:val="00C73E30"/>
    <w:rsid w:val="00C84CA5"/>
    <w:rsid w:val="00CB461F"/>
    <w:rsid w:val="00CF4389"/>
    <w:rsid w:val="00D02089"/>
    <w:rsid w:val="00D07516"/>
    <w:rsid w:val="00D235C8"/>
    <w:rsid w:val="00D24104"/>
    <w:rsid w:val="00D30F34"/>
    <w:rsid w:val="00D44217"/>
    <w:rsid w:val="00D55F8D"/>
    <w:rsid w:val="00D8065C"/>
    <w:rsid w:val="00D948C0"/>
    <w:rsid w:val="00D95D32"/>
    <w:rsid w:val="00DF0933"/>
    <w:rsid w:val="00DF1510"/>
    <w:rsid w:val="00E00B0F"/>
    <w:rsid w:val="00E07464"/>
    <w:rsid w:val="00E12401"/>
    <w:rsid w:val="00E332DD"/>
    <w:rsid w:val="00E332E9"/>
    <w:rsid w:val="00E52109"/>
    <w:rsid w:val="00E62B26"/>
    <w:rsid w:val="00E71F05"/>
    <w:rsid w:val="00E743CD"/>
    <w:rsid w:val="00E81587"/>
    <w:rsid w:val="00E837B5"/>
    <w:rsid w:val="00E9656F"/>
    <w:rsid w:val="00EA4521"/>
    <w:rsid w:val="00EA60A4"/>
    <w:rsid w:val="00ED04EE"/>
    <w:rsid w:val="00ED5A7B"/>
    <w:rsid w:val="00ED70B2"/>
    <w:rsid w:val="00EE60EA"/>
    <w:rsid w:val="00EF0E5B"/>
    <w:rsid w:val="00EF7982"/>
    <w:rsid w:val="00F110F5"/>
    <w:rsid w:val="00F1123B"/>
    <w:rsid w:val="00F14F06"/>
    <w:rsid w:val="00F17684"/>
    <w:rsid w:val="00F3562C"/>
    <w:rsid w:val="00F46714"/>
    <w:rsid w:val="00F545DD"/>
    <w:rsid w:val="00F85B86"/>
    <w:rsid w:val="00F87C9A"/>
    <w:rsid w:val="00FA371C"/>
    <w:rsid w:val="00FB7416"/>
    <w:rsid w:val="00FC06BE"/>
    <w:rsid w:val="00FF5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BB19"/>
  <w15:docId w15:val="{0405A735-B3EF-4C37-93B9-24F3307B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0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AE13EC"/>
  </w:style>
  <w:style w:type="paragraph" w:styleId="Sraopastraipa">
    <w:name w:val="List Paragraph"/>
    <w:basedOn w:val="prastasis"/>
    <w:uiPriority w:val="34"/>
    <w:qFormat/>
    <w:rsid w:val="00EF0E5B"/>
    <w:pPr>
      <w:ind w:left="720"/>
      <w:contextualSpacing/>
    </w:pPr>
  </w:style>
  <w:style w:type="paragraph" w:styleId="Antrats">
    <w:name w:val="header"/>
    <w:basedOn w:val="prastasis"/>
    <w:link w:val="AntratsDiagrama"/>
    <w:uiPriority w:val="99"/>
    <w:unhideWhenUsed/>
    <w:rsid w:val="007C7430"/>
    <w:pPr>
      <w:tabs>
        <w:tab w:val="center" w:pos="4819"/>
        <w:tab w:val="right" w:pos="9638"/>
      </w:tabs>
    </w:pPr>
  </w:style>
  <w:style w:type="character" w:customStyle="1" w:styleId="AntratsDiagrama">
    <w:name w:val="Antraštės Diagrama"/>
    <w:basedOn w:val="Numatytasispastraiposriftas"/>
    <w:link w:val="Antrats"/>
    <w:uiPriority w:val="99"/>
    <w:rsid w:val="007C743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C7430"/>
    <w:pPr>
      <w:tabs>
        <w:tab w:val="center" w:pos="4819"/>
        <w:tab w:val="right" w:pos="9638"/>
      </w:tabs>
    </w:pPr>
  </w:style>
  <w:style w:type="character" w:customStyle="1" w:styleId="PoratDiagrama">
    <w:name w:val="Poraštė Diagrama"/>
    <w:basedOn w:val="Numatytasispastraiposriftas"/>
    <w:link w:val="Porat"/>
    <w:uiPriority w:val="99"/>
    <w:rsid w:val="007C7430"/>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131A8"/>
    <w:rPr>
      <w:color w:val="0000FF" w:themeColor="hyperlink"/>
      <w:u w:val="single"/>
    </w:rPr>
  </w:style>
  <w:style w:type="character" w:styleId="Neapdorotaspaminjimas">
    <w:name w:val="Unresolved Mention"/>
    <w:basedOn w:val="Numatytasispastraiposriftas"/>
    <w:uiPriority w:val="99"/>
    <w:semiHidden/>
    <w:unhideWhenUsed/>
    <w:rsid w:val="005131A8"/>
    <w:rPr>
      <w:color w:val="605E5C"/>
      <w:shd w:val="clear" w:color="auto" w:fill="E1DFDD"/>
    </w:rPr>
  </w:style>
  <w:style w:type="paragraph" w:styleId="prastasiniatinklio">
    <w:name w:val="Normal (Web)"/>
    <w:basedOn w:val="prastasis"/>
    <w:uiPriority w:val="99"/>
    <w:unhideWhenUsed/>
    <w:rsid w:val="006B22EF"/>
    <w:pPr>
      <w:spacing w:before="100" w:beforeAutospacing="1" w:after="100" w:afterAutospacing="1"/>
    </w:pPr>
    <w:rPr>
      <w:szCs w:val="24"/>
      <w:lang w:eastAsia="lt-LT"/>
    </w:rPr>
  </w:style>
  <w:style w:type="paragraph" w:styleId="Betarp">
    <w:name w:val="No Spacing"/>
    <w:uiPriority w:val="1"/>
    <w:qFormat/>
    <w:rsid w:val="00B0372A"/>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uiPriority w:val="39"/>
    <w:rsid w:val="00CB46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9437">
      <w:bodyDiv w:val="1"/>
      <w:marLeft w:val="0"/>
      <w:marRight w:val="0"/>
      <w:marTop w:val="0"/>
      <w:marBottom w:val="0"/>
      <w:divBdr>
        <w:top w:val="none" w:sz="0" w:space="0" w:color="auto"/>
        <w:left w:val="none" w:sz="0" w:space="0" w:color="auto"/>
        <w:bottom w:val="none" w:sz="0" w:space="0" w:color="auto"/>
        <w:right w:val="none" w:sz="0" w:space="0" w:color="auto"/>
      </w:divBdr>
    </w:div>
    <w:div w:id="360588470">
      <w:bodyDiv w:val="1"/>
      <w:marLeft w:val="0"/>
      <w:marRight w:val="0"/>
      <w:marTop w:val="0"/>
      <w:marBottom w:val="0"/>
      <w:divBdr>
        <w:top w:val="none" w:sz="0" w:space="0" w:color="auto"/>
        <w:left w:val="none" w:sz="0" w:space="0" w:color="auto"/>
        <w:bottom w:val="none" w:sz="0" w:space="0" w:color="auto"/>
        <w:right w:val="none" w:sz="0" w:space="0" w:color="auto"/>
      </w:divBdr>
    </w:div>
    <w:div w:id="619413090">
      <w:bodyDiv w:val="1"/>
      <w:marLeft w:val="0"/>
      <w:marRight w:val="0"/>
      <w:marTop w:val="0"/>
      <w:marBottom w:val="0"/>
      <w:divBdr>
        <w:top w:val="none" w:sz="0" w:space="0" w:color="auto"/>
        <w:left w:val="none" w:sz="0" w:space="0" w:color="auto"/>
        <w:bottom w:val="none" w:sz="0" w:space="0" w:color="auto"/>
        <w:right w:val="none" w:sz="0" w:space="0" w:color="auto"/>
      </w:divBdr>
      <w:divsChild>
        <w:div w:id="34160105">
          <w:marLeft w:val="0"/>
          <w:marRight w:val="0"/>
          <w:marTop w:val="0"/>
          <w:marBottom w:val="0"/>
          <w:divBdr>
            <w:top w:val="none" w:sz="0" w:space="0" w:color="auto"/>
            <w:left w:val="none" w:sz="0" w:space="0" w:color="auto"/>
            <w:bottom w:val="none" w:sz="0" w:space="0" w:color="auto"/>
            <w:right w:val="none" w:sz="0" w:space="0" w:color="auto"/>
          </w:divBdr>
          <w:divsChild>
            <w:div w:id="2031057525">
              <w:marLeft w:val="0"/>
              <w:marRight w:val="0"/>
              <w:marTop w:val="0"/>
              <w:marBottom w:val="0"/>
              <w:divBdr>
                <w:top w:val="none" w:sz="0" w:space="0" w:color="auto"/>
                <w:left w:val="none" w:sz="0" w:space="0" w:color="auto"/>
                <w:bottom w:val="none" w:sz="0" w:space="0" w:color="auto"/>
                <w:right w:val="none" w:sz="0" w:space="0" w:color="auto"/>
              </w:divBdr>
            </w:div>
          </w:divsChild>
        </w:div>
        <w:div w:id="1714386746">
          <w:marLeft w:val="0"/>
          <w:marRight w:val="0"/>
          <w:marTop w:val="0"/>
          <w:marBottom w:val="0"/>
          <w:divBdr>
            <w:top w:val="none" w:sz="0" w:space="0" w:color="auto"/>
            <w:left w:val="none" w:sz="0" w:space="0" w:color="auto"/>
            <w:bottom w:val="none" w:sz="0" w:space="0" w:color="auto"/>
            <w:right w:val="none" w:sz="0" w:space="0" w:color="auto"/>
          </w:divBdr>
          <w:divsChild>
            <w:div w:id="10129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erge.lt/etikos-komisij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4</Pages>
  <Words>4264</Words>
  <Characters>2431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Diana Tiškuviene</cp:lastModifiedBy>
  <cp:revision>31</cp:revision>
  <dcterms:created xsi:type="dcterms:W3CDTF">2025-01-07T09:21:00Z</dcterms:created>
  <dcterms:modified xsi:type="dcterms:W3CDTF">2026-01-19T08:16:00Z</dcterms:modified>
</cp:coreProperties>
</file>